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adjustRightInd w:val="0"/>
        <w:snapToGrid w:val="0"/>
        <w:spacing w:line="360" w:lineRule="exact"/>
        <w:rPr>
          <w:rFonts w:hint="eastAsia" w:ascii="宋体" w:hAnsi="宋体"/>
          <w:snapToGrid w:val="0"/>
          <w:color w:val="000000"/>
          <w:kern w:val="0"/>
          <w:sz w:val="28"/>
          <w:szCs w:val="28"/>
        </w:rPr>
      </w:pPr>
      <w:r>
        <w:rPr>
          <w:rFonts w:hint="eastAsia" w:ascii="宋体" w:hAnsi="宋体"/>
          <w:snapToGrid w:val="0"/>
          <w:color w:val="000000"/>
          <w:kern w:val="0"/>
          <w:sz w:val="28"/>
          <w:szCs w:val="28"/>
        </w:rPr>
        <w:t>附件1</w:t>
      </w:r>
    </w:p>
    <w:p>
      <w:pPr>
        <w:adjustRightInd w:val="0"/>
        <w:snapToGrid w:val="0"/>
        <w:jc w:val="center"/>
        <w:rPr>
          <w:rFonts w:hint="eastAsia" w:ascii="方正大标宋简体" w:hAnsi="方正大标宋简体" w:eastAsia="方正大标宋简体"/>
          <w:snapToGrid w:val="0"/>
          <w:color w:val="000000"/>
          <w:kern w:val="0"/>
          <w:sz w:val="36"/>
          <w:szCs w:val="36"/>
        </w:rPr>
      </w:pPr>
      <w:r>
        <w:rPr>
          <w:rFonts w:hint="eastAsia" w:ascii="方正大标宋简体" w:hAnsi="方正大标宋简体" w:eastAsia="方正大标宋简体"/>
          <w:snapToGrid w:val="0"/>
          <w:color w:val="000000"/>
          <w:kern w:val="0"/>
          <w:sz w:val="36"/>
          <w:szCs w:val="36"/>
        </w:rPr>
        <w:t>四川省新农合终末期肾病等重大疾病</w:t>
      </w:r>
    </w:p>
    <w:p>
      <w:pPr>
        <w:adjustRightInd w:val="0"/>
        <w:snapToGrid w:val="0"/>
        <w:jc w:val="center"/>
        <w:rPr>
          <w:rFonts w:hint="eastAsia" w:ascii="方正大标宋简体" w:hAnsi="方正大标宋简体" w:eastAsia="方正大标宋简体"/>
          <w:snapToGrid w:val="0"/>
          <w:color w:val="000000"/>
          <w:kern w:val="0"/>
          <w:sz w:val="36"/>
          <w:szCs w:val="36"/>
        </w:rPr>
      </w:pPr>
      <w:r>
        <w:rPr>
          <w:rFonts w:hint="eastAsia" w:ascii="方正大标宋简体" w:hAnsi="方正大标宋简体" w:eastAsia="方正大标宋简体"/>
          <w:snapToGrid w:val="0"/>
          <w:color w:val="000000"/>
          <w:kern w:val="0"/>
          <w:sz w:val="36"/>
          <w:szCs w:val="36"/>
        </w:rPr>
        <w:t>按病种付费标准</w:t>
      </w:r>
    </w:p>
    <w:p>
      <w:pPr>
        <w:adjustRightInd w:val="0"/>
        <w:snapToGrid w:val="0"/>
        <w:spacing w:line="430" w:lineRule="exact"/>
        <w:ind w:firstLine="480" w:firstLineChars="200"/>
        <w:rPr>
          <w:rFonts w:hint="eastAsia" w:ascii="宋体" w:hAnsi="宋体"/>
          <w:snapToGrid w:val="0"/>
          <w:color w:val="000000"/>
          <w:kern w:val="0"/>
          <w:sz w:val="24"/>
        </w:rPr>
      </w:pPr>
    </w:p>
    <w:p>
      <w:pPr>
        <w:pStyle w:val="5"/>
        <w:adjustRightInd w:val="0"/>
        <w:snapToGrid w:val="0"/>
        <w:spacing w:line="430" w:lineRule="exact"/>
        <w:ind w:firstLine="480"/>
        <w:rPr>
          <w:rFonts w:hint="eastAsia" w:ascii="黑体" w:hAnsi="宋体" w:eastAsia="黑体"/>
          <w:snapToGrid w:val="0"/>
          <w:color w:val="000000"/>
          <w:kern w:val="0"/>
          <w:sz w:val="24"/>
        </w:rPr>
      </w:pPr>
      <w:r>
        <w:rPr>
          <w:rFonts w:hint="eastAsia" w:ascii="黑体" w:hAnsi="宋体" w:eastAsia="黑体"/>
          <w:snapToGrid w:val="0"/>
          <w:color w:val="000000"/>
          <w:kern w:val="0"/>
          <w:sz w:val="24"/>
        </w:rPr>
        <w:t>一、艾滋病机会性感染</w:t>
      </w:r>
    </w:p>
    <w:p>
      <w:pPr>
        <w:adjustRightInd w:val="0"/>
        <w:snapToGrid w:val="0"/>
        <w:spacing w:line="430" w:lineRule="exact"/>
        <w:ind w:firstLine="480" w:firstLineChars="200"/>
        <w:rPr>
          <w:rFonts w:hint="eastAsia" w:ascii="方正楷体简体" w:hAnsi="宋体" w:eastAsia="方正楷体简体"/>
          <w:snapToGrid w:val="0"/>
          <w:color w:val="000000"/>
          <w:kern w:val="0"/>
          <w:sz w:val="24"/>
        </w:rPr>
      </w:pPr>
      <w:r>
        <w:rPr>
          <w:rFonts w:hint="eastAsia" w:ascii="方正楷体简体" w:hAnsi="宋体" w:eastAsia="方正楷体简体"/>
          <w:snapToGrid w:val="0"/>
          <w:color w:val="000000"/>
          <w:kern w:val="0"/>
          <w:sz w:val="24"/>
        </w:rPr>
        <w:t>（一）适用对象。</w:t>
      </w:r>
    </w:p>
    <w:p>
      <w:pPr>
        <w:adjustRightInd w:val="0"/>
        <w:snapToGrid w:val="0"/>
        <w:spacing w:line="430" w:lineRule="exact"/>
        <w:ind w:firstLine="480" w:firstLineChars="200"/>
        <w:rPr>
          <w:rFonts w:ascii="宋体" w:hAnsi="宋体"/>
          <w:snapToGrid w:val="0"/>
          <w:color w:val="000000"/>
          <w:kern w:val="0"/>
          <w:sz w:val="24"/>
        </w:rPr>
      </w:pPr>
      <w:r>
        <w:rPr>
          <w:rFonts w:hint="eastAsia" w:ascii="宋体" w:hAnsi="宋体"/>
          <w:snapToGrid w:val="0"/>
          <w:color w:val="000000"/>
          <w:kern w:val="0"/>
          <w:sz w:val="24"/>
        </w:rPr>
        <w:t>以HIV感染或艾滋病（</w:t>
      </w:r>
      <w:r>
        <w:rPr>
          <w:rFonts w:ascii="宋体" w:hAnsi="宋体"/>
          <w:snapToGrid w:val="0"/>
          <w:color w:val="000000"/>
          <w:kern w:val="0"/>
          <w:sz w:val="24"/>
        </w:rPr>
        <w:t>ICD-10</w:t>
      </w:r>
      <w:r>
        <w:rPr>
          <w:rFonts w:hint="eastAsia" w:ascii="宋体" w:hAnsi="宋体"/>
          <w:snapToGrid w:val="0"/>
          <w:color w:val="000000"/>
          <w:kern w:val="0"/>
          <w:sz w:val="24"/>
        </w:rPr>
        <w:t>编码</w:t>
      </w:r>
      <w:r>
        <w:rPr>
          <w:rFonts w:ascii="宋体" w:hAnsi="宋体"/>
          <w:snapToGrid w:val="0"/>
          <w:color w:val="000000"/>
          <w:kern w:val="0"/>
          <w:sz w:val="24"/>
        </w:rPr>
        <w:t>B24.X01</w:t>
      </w:r>
      <w:r>
        <w:rPr>
          <w:rFonts w:hint="eastAsia" w:ascii="宋体" w:hAnsi="宋体"/>
          <w:snapToGrid w:val="0"/>
          <w:color w:val="000000"/>
          <w:kern w:val="0"/>
          <w:sz w:val="24"/>
        </w:rPr>
        <w:t>）为第一诊断的、罹患肺部感染、肝部感染、中枢神经系统感染及其他感染类疾病的患者，在定点医疗机构住院发生的费用，纳入新农合重大疾病按病种付费范围。</w:t>
      </w:r>
    </w:p>
    <w:p>
      <w:pPr>
        <w:adjustRightInd w:val="0"/>
        <w:snapToGrid w:val="0"/>
        <w:spacing w:line="430" w:lineRule="exact"/>
        <w:ind w:firstLine="480" w:firstLineChars="200"/>
        <w:rPr>
          <w:rFonts w:hint="eastAsia" w:ascii="方正楷体简体" w:hAnsi="宋体" w:eastAsia="方正楷体简体"/>
          <w:snapToGrid w:val="0"/>
          <w:color w:val="000000"/>
          <w:kern w:val="0"/>
          <w:sz w:val="24"/>
        </w:rPr>
      </w:pPr>
      <w:r>
        <w:rPr>
          <w:rFonts w:hint="eastAsia" w:ascii="方正楷体简体" w:hAnsi="宋体" w:eastAsia="方正楷体简体"/>
          <w:snapToGrid w:val="0"/>
          <w:color w:val="000000"/>
          <w:kern w:val="0"/>
          <w:sz w:val="24"/>
        </w:rPr>
        <w:t>（二）支付条件。</w:t>
      </w:r>
    </w:p>
    <w:p>
      <w:pPr>
        <w:adjustRightInd w:val="0"/>
        <w:snapToGrid w:val="0"/>
        <w:spacing w:line="430" w:lineRule="exact"/>
        <w:ind w:firstLine="480" w:firstLineChars="200"/>
        <w:rPr>
          <w:rFonts w:ascii="宋体" w:hAnsi="宋体"/>
          <w:snapToGrid w:val="0"/>
          <w:color w:val="000000"/>
          <w:kern w:val="0"/>
          <w:sz w:val="24"/>
        </w:rPr>
      </w:pPr>
      <w:r>
        <w:rPr>
          <w:rFonts w:hint="eastAsia" w:ascii="宋体" w:hAnsi="宋体"/>
          <w:snapToGrid w:val="0"/>
          <w:color w:val="000000"/>
          <w:kern w:val="0"/>
          <w:sz w:val="24"/>
        </w:rPr>
        <w:t>治疗过程需严格按照卫生部《艾滋病合并肺孢子菌肺炎临床路径（2012年版）》、《艾滋病合并活动性结核病临床路径（2012年版）》、《艾滋病合并巨细胞病毒视网膜炎临床路径（2012年版）》、《艾滋病合并马尼菲青霉菌病临床路径（2012年版）》、《艾滋病合并细菌性肺炎临床路径（2012年版）》、《艾滋病合并新型隐球菌脑膜炎临床路径（2012年版）》执行，方可实行按病种付费。</w:t>
      </w:r>
    </w:p>
    <w:p>
      <w:pPr>
        <w:adjustRightInd w:val="0"/>
        <w:snapToGrid w:val="0"/>
        <w:spacing w:line="430" w:lineRule="exact"/>
        <w:ind w:firstLine="480" w:firstLineChars="200"/>
        <w:rPr>
          <w:rFonts w:hint="eastAsia" w:ascii="方正楷体简体" w:hAnsi="宋体" w:eastAsia="方正楷体简体"/>
          <w:snapToGrid w:val="0"/>
          <w:color w:val="000000"/>
          <w:kern w:val="0"/>
          <w:sz w:val="24"/>
        </w:rPr>
      </w:pPr>
      <w:r>
        <w:rPr>
          <w:rFonts w:hint="eastAsia" w:ascii="方正楷体简体" w:hAnsi="宋体" w:eastAsia="方正楷体简体"/>
          <w:snapToGrid w:val="0"/>
          <w:color w:val="000000"/>
          <w:kern w:val="0"/>
          <w:sz w:val="24"/>
        </w:rPr>
        <w:t>（三）支付标准。</w:t>
      </w:r>
    </w:p>
    <w:p>
      <w:pPr>
        <w:adjustRightInd w:val="0"/>
        <w:snapToGrid w:val="0"/>
        <w:spacing w:line="430" w:lineRule="exact"/>
        <w:ind w:firstLine="480" w:firstLineChars="200"/>
        <w:rPr>
          <w:rFonts w:ascii="宋体" w:hAnsi="宋体"/>
          <w:snapToGrid w:val="0"/>
          <w:color w:val="000000"/>
          <w:kern w:val="0"/>
          <w:sz w:val="24"/>
        </w:rPr>
      </w:pPr>
      <w:r>
        <w:rPr>
          <w:rFonts w:hint="eastAsia" w:ascii="宋体" w:hAnsi="宋体"/>
          <w:snapToGrid w:val="0"/>
          <w:color w:val="000000"/>
          <w:kern w:val="0"/>
          <w:sz w:val="24"/>
        </w:rPr>
        <w:t>支付的标准包括患者每次住院期间发生的费用，限额标准内费用的70%（三级医院）或75%（二级医院）由新农合基金支付。</w:t>
      </w:r>
    </w:p>
    <w:p>
      <w:pPr>
        <w:pStyle w:val="5"/>
        <w:spacing w:line="430" w:lineRule="exact"/>
        <w:ind w:firstLineChars="0"/>
        <w:jc w:val="center"/>
        <w:rPr>
          <w:rFonts w:hint="eastAsia" w:ascii="宋体" w:hAnsi="宋体"/>
          <w:sz w:val="24"/>
        </w:rPr>
      </w:pPr>
      <w:r>
        <w:rPr>
          <w:rFonts w:hint="eastAsia" w:ascii="宋体" w:hAnsi="宋体"/>
          <w:sz w:val="24"/>
        </w:rPr>
        <w:t>表1   艾滋病机会性感染住院治疗费用的限额支付标准</w:t>
      </w:r>
    </w:p>
    <w:tbl>
      <w:tblPr>
        <w:tblStyle w:val="4"/>
        <w:tblW w:w="7541" w:type="dxa"/>
        <w:jc w:val="center"/>
        <w:tblInd w:w="0" w:type="dxa"/>
        <w:tblLayout w:type="fixed"/>
        <w:tblCellMar>
          <w:top w:w="0" w:type="dxa"/>
          <w:left w:w="28" w:type="dxa"/>
          <w:bottom w:w="0" w:type="dxa"/>
          <w:right w:w="28" w:type="dxa"/>
        </w:tblCellMar>
      </w:tblPr>
      <w:tblGrid>
        <w:gridCol w:w="1257"/>
        <w:gridCol w:w="1256"/>
        <w:gridCol w:w="1258"/>
        <w:gridCol w:w="1256"/>
        <w:gridCol w:w="1256"/>
        <w:gridCol w:w="1258"/>
      </w:tblGrid>
      <w:tr>
        <w:tblPrEx>
          <w:tblLayout w:type="fixed"/>
        </w:tblPrEx>
        <w:trPr>
          <w:trHeight w:val="463" w:hRule="atLeast"/>
          <w:jc w:val="center"/>
        </w:trPr>
        <w:tc>
          <w:tcPr>
            <w:tcW w:w="2513" w:type="dxa"/>
            <w:gridSpan w:val="2"/>
            <w:tcBorders>
              <w:top w:val="single" w:color="auto" w:sz="4" w:space="0"/>
              <w:left w:val="nil"/>
              <w:bottom w:val="single" w:color="auto" w:sz="4" w:space="0"/>
              <w:right w:val="nil"/>
            </w:tcBorders>
            <w:vAlign w:val="center"/>
          </w:tcPr>
          <w:p>
            <w:pPr>
              <w:widowControl/>
              <w:spacing w:line="410" w:lineRule="exact"/>
              <w:jc w:val="center"/>
              <w:rPr>
                <w:rFonts w:ascii="宋体" w:hAnsi="宋体" w:cs="宋体"/>
                <w:b/>
                <w:bCs/>
                <w:kern w:val="0"/>
                <w:szCs w:val="21"/>
              </w:rPr>
            </w:pPr>
            <w:r>
              <w:rPr>
                <w:rFonts w:hint="eastAsia" w:ascii="宋体" w:hAnsi="宋体" w:cs="宋体"/>
                <w:b/>
                <w:bCs/>
                <w:kern w:val="0"/>
                <w:szCs w:val="21"/>
              </w:rPr>
              <w:t>省级定点救治医院（万元）</w:t>
            </w:r>
          </w:p>
        </w:tc>
        <w:tc>
          <w:tcPr>
            <w:tcW w:w="2514" w:type="dxa"/>
            <w:gridSpan w:val="2"/>
            <w:tcBorders>
              <w:top w:val="single" w:color="auto" w:sz="4" w:space="0"/>
              <w:left w:val="nil"/>
              <w:bottom w:val="single" w:color="auto" w:sz="4" w:space="0"/>
              <w:right w:val="nil"/>
            </w:tcBorders>
            <w:vAlign w:val="center"/>
          </w:tcPr>
          <w:p>
            <w:pPr>
              <w:widowControl/>
              <w:spacing w:line="410" w:lineRule="exact"/>
              <w:jc w:val="center"/>
              <w:rPr>
                <w:rFonts w:ascii="宋体" w:hAnsi="宋体" w:cs="宋体"/>
                <w:b/>
                <w:bCs/>
                <w:kern w:val="0"/>
                <w:szCs w:val="21"/>
              </w:rPr>
            </w:pPr>
            <w:r>
              <w:rPr>
                <w:rFonts w:hint="eastAsia" w:ascii="宋体" w:hAnsi="宋体" w:cs="宋体"/>
                <w:b/>
                <w:bCs/>
                <w:kern w:val="0"/>
                <w:szCs w:val="21"/>
              </w:rPr>
              <w:t xml:space="preserve"> 三级医院（万元）</w:t>
            </w:r>
          </w:p>
        </w:tc>
        <w:tc>
          <w:tcPr>
            <w:tcW w:w="2514" w:type="dxa"/>
            <w:gridSpan w:val="2"/>
            <w:tcBorders>
              <w:top w:val="single" w:color="auto" w:sz="4" w:space="0"/>
              <w:left w:val="nil"/>
              <w:bottom w:val="single" w:color="auto" w:sz="4" w:space="0"/>
              <w:right w:val="nil"/>
            </w:tcBorders>
            <w:vAlign w:val="center"/>
          </w:tcPr>
          <w:p>
            <w:pPr>
              <w:widowControl/>
              <w:spacing w:line="410" w:lineRule="exact"/>
              <w:jc w:val="center"/>
              <w:rPr>
                <w:rFonts w:ascii="宋体" w:hAnsi="宋体" w:cs="宋体"/>
                <w:b/>
                <w:bCs/>
                <w:kern w:val="0"/>
                <w:szCs w:val="21"/>
              </w:rPr>
            </w:pPr>
            <w:r>
              <w:rPr>
                <w:rFonts w:hint="eastAsia" w:ascii="宋体" w:hAnsi="宋体" w:cs="宋体"/>
                <w:b/>
                <w:bCs/>
                <w:kern w:val="0"/>
                <w:szCs w:val="21"/>
              </w:rPr>
              <w:t>二级医院（万元）</w:t>
            </w:r>
          </w:p>
        </w:tc>
      </w:tr>
      <w:tr>
        <w:tblPrEx>
          <w:tblLayout w:type="fixed"/>
        </w:tblPrEx>
        <w:trPr>
          <w:trHeight w:val="463" w:hRule="atLeast"/>
          <w:jc w:val="center"/>
        </w:trPr>
        <w:tc>
          <w:tcPr>
            <w:tcW w:w="1257" w:type="dxa"/>
            <w:tcBorders>
              <w:top w:val="nil"/>
              <w:left w:val="nil"/>
              <w:bottom w:val="nil"/>
              <w:right w:val="nil"/>
            </w:tcBorders>
            <w:vAlign w:val="center"/>
          </w:tcPr>
          <w:p>
            <w:pPr>
              <w:widowControl/>
              <w:spacing w:line="410" w:lineRule="exact"/>
              <w:jc w:val="center"/>
              <w:rPr>
                <w:rFonts w:ascii="宋体" w:hAnsi="宋体" w:cs="宋体"/>
                <w:b/>
                <w:bCs/>
                <w:kern w:val="0"/>
                <w:szCs w:val="21"/>
              </w:rPr>
            </w:pPr>
            <w:r>
              <w:rPr>
                <w:rFonts w:hint="eastAsia" w:ascii="宋体" w:hAnsi="宋体" w:cs="宋体"/>
                <w:b/>
                <w:bCs/>
                <w:kern w:val="0"/>
                <w:szCs w:val="21"/>
              </w:rPr>
              <w:t>支付标准</w:t>
            </w:r>
          </w:p>
        </w:tc>
        <w:tc>
          <w:tcPr>
            <w:tcW w:w="1256" w:type="dxa"/>
            <w:tcBorders>
              <w:top w:val="nil"/>
              <w:left w:val="nil"/>
              <w:bottom w:val="nil"/>
              <w:right w:val="nil"/>
            </w:tcBorders>
            <w:vAlign w:val="center"/>
          </w:tcPr>
          <w:p>
            <w:pPr>
              <w:widowControl/>
              <w:spacing w:line="410" w:lineRule="exact"/>
              <w:jc w:val="center"/>
              <w:rPr>
                <w:rFonts w:ascii="宋体" w:hAnsi="宋体" w:cs="宋体"/>
                <w:b/>
                <w:bCs/>
                <w:kern w:val="0"/>
                <w:szCs w:val="21"/>
              </w:rPr>
            </w:pPr>
            <w:r>
              <w:rPr>
                <w:rFonts w:hint="eastAsia" w:ascii="宋体" w:hAnsi="宋体" w:cs="宋体"/>
                <w:b/>
                <w:bCs/>
                <w:kern w:val="0"/>
                <w:szCs w:val="21"/>
              </w:rPr>
              <w:t>新农合支付</w:t>
            </w:r>
          </w:p>
        </w:tc>
        <w:tc>
          <w:tcPr>
            <w:tcW w:w="1258" w:type="dxa"/>
            <w:tcBorders>
              <w:top w:val="nil"/>
              <w:left w:val="nil"/>
              <w:bottom w:val="nil"/>
              <w:right w:val="nil"/>
            </w:tcBorders>
            <w:vAlign w:val="center"/>
          </w:tcPr>
          <w:p>
            <w:pPr>
              <w:widowControl/>
              <w:spacing w:line="410" w:lineRule="exact"/>
              <w:jc w:val="center"/>
              <w:rPr>
                <w:rFonts w:ascii="宋体" w:hAnsi="宋体" w:cs="宋体"/>
                <w:b/>
                <w:bCs/>
                <w:kern w:val="0"/>
                <w:szCs w:val="21"/>
              </w:rPr>
            </w:pPr>
            <w:r>
              <w:rPr>
                <w:rFonts w:hint="eastAsia" w:ascii="宋体" w:hAnsi="宋体" w:cs="宋体"/>
                <w:b/>
                <w:bCs/>
                <w:kern w:val="0"/>
                <w:szCs w:val="21"/>
              </w:rPr>
              <w:t>支付标准</w:t>
            </w:r>
          </w:p>
        </w:tc>
        <w:tc>
          <w:tcPr>
            <w:tcW w:w="1256" w:type="dxa"/>
            <w:tcBorders>
              <w:top w:val="nil"/>
              <w:left w:val="nil"/>
              <w:bottom w:val="nil"/>
              <w:right w:val="nil"/>
            </w:tcBorders>
            <w:vAlign w:val="center"/>
          </w:tcPr>
          <w:p>
            <w:pPr>
              <w:widowControl/>
              <w:spacing w:line="410" w:lineRule="exact"/>
              <w:jc w:val="center"/>
              <w:rPr>
                <w:rFonts w:ascii="宋体" w:hAnsi="宋体" w:cs="宋体"/>
                <w:b/>
                <w:bCs/>
                <w:kern w:val="0"/>
                <w:szCs w:val="21"/>
              </w:rPr>
            </w:pPr>
            <w:r>
              <w:rPr>
                <w:rFonts w:hint="eastAsia" w:ascii="宋体" w:hAnsi="宋体" w:cs="宋体"/>
                <w:b/>
                <w:bCs/>
                <w:kern w:val="0"/>
                <w:szCs w:val="21"/>
              </w:rPr>
              <w:t>新农合支付</w:t>
            </w:r>
          </w:p>
        </w:tc>
        <w:tc>
          <w:tcPr>
            <w:tcW w:w="1256" w:type="dxa"/>
            <w:tcBorders>
              <w:top w:val="nil"/>
              <w:left w:val="nil"/>
              <w:bottom w:val="nil"/>
              <w:right w:val="nil"/>
            </w:tcBorders>
            <w:vAlign w:val="center"/>
          </w:tcPr>
          <w:p>
            <w:pPr>
              <w:widowControl/>
              <w:spacing w:line="410" w:lineRule="exact"/>
              <w:jc w:val="center"/>
              <w:rPr>
                <w:rFonts w:ascii="宋体" w:hAnsi="宋体" w:cs="宋体"/>
                <w:b/>
                <w:bCs/>
                <w:kern w:val="0"/>
                <w:szCs w:val="21"/>
              </w:rPr>
            </w:pPr>
            <w:r>
              <w:rPr>
                <w:rFonts w:hint="eastAsia" w:ascii="宋体" w:hAnsi="宋体" w:cs="宋体"/>
                <w:b/>
                <w:bCs/>
                <w:kern w:val="0"/>
                <w:szCs w:val="21"/>
              </w:rPr>
              <w:t>支付标准</w:t>
            </w:r>
          </w:p>
        </w:tc>
        <w:tc>
          <w:tcPr>
            <w:tcW w:w="1258" w:type="dxa"/>
            <w:tcBorders>
              <w:top w:val="nil"/>
              <w:left w:val="nil"/>
              <w:bottom w:val="nil"/>
              <w:right w:val="nil"/>
            </w:tcBorders>
            <w:vAlign w:val="center"/>
          </w:tcPr>
          <w:p>
            <w:pPr>
              <w:widowControl/>
              <w:spacing w:line="410" w:lineRule="exact"/>
              <w:jc w:val="center"/>
              <w:rPr>
                <w:rFonts w:ascii="宋体" w:hAnsi="宋体" w:cs="宋体"/>
                <w:b/>
                <w:bCs/>
                <w:kern w:val="0"/>
                <w:szCs w:val="21"/>
              </w:rPr>
            </w:pPr>
            <w:r>
              <w:rPr>
                <w:rFonts w:hint="eastAsia" w:ascii="宋体" w:hAnsi="宋体" w:cs="宋体"/>
                <w:b/>
                <w:bCs/>
                <w:kern w:val="0"/>
                <w:szCs w:val="21"/>
              </w:rPr>
              <w:t>新农合支付</w:t>
            </w:r>
          </w:p>
        </w:tc>
      </w:tr>
      <w:tr>
        <w:tblPrEx>
          <w:tblLayout w:type="fixed"/>
          <w:tblCellMar>
            <w:top w:w="0" w:type="dxa"/>
            <w:left w:w="28" w:type="dxa"/>
            <w:bottom w:w="0" w:type="dxa"/>
            <w:right w:w="28" w:type="dxa"/>
          </w:tblCellMar>
        </w:tblPrEx>
        <w:trPr>
          <w:trHeight w:val="464" w:hRule="atLeast"/>
          <w:jc w:val="center"/>
        </w:trPr>
        <w:tc>
          <w:tcPr>
            <w:tcW w:w="1257" w:type="dxa"/>
            <w:tcBorders>
              <w:top w:val="nil"/>
              <w:left w:val="nil"/>
              <w:bottom w:val="single" w:color="auto" w:sz="4" w:space="0"/>
              <w:right w:val="nil"/>
            </w:tcBorders>
            <w:vAlign w:val="center"/>
          </w:tcPr>
          <w:p>
            <w:pPr>
              <w:widowControl/>
              <w:spacing w:line="410" w:lineRule="exact"/>
              <w:jc w:val="center"/>
              <w:rPr>
                <w:rFonts w:ascii="宋体" w:hAnsi="宋体"/>
                <w:bCs/>
                <w:kern w:val="0"/>
                <w:szCs w:val="21"/>
              </w:rPr>
            </w:pPr>
            <w:r>
              <w:rPr>
                <w:rFonts w:hint="eastAsia" w:ascii="宋体" w:hAnsi="宋体"/>
                <w:bCs/>
                <w:kern w:val="0"/>
                <w:szCs w:val="21"/>
              </w:rPr>
              <w:t>0.85</w:t>
            </w:r>
          </w:p>
        </w:tc>
        <w:tc>
          <w:tcPr>
            <w:tcW w:w="1256" w:type="dxa"/>
            <w:tcBorders>
              <w:top w:val="nil"/>
              <w:left w:val="nil"/>
              <w:bottom w:val="single" w:color="auto" w:sz="4" w:space="0"/>
              <w:right w:val="nil"/>
            </w:tcBorders>
            <w:vAlign w:val="center"/>
          </w:tcPr>
          <w:p>
            <w:pPr>
              <w:widowControl/>
              <w:spacing w:line="410" w:lineRule="exact"/>
              <w:jc w:val="center"/>
              <w:rPr>
                <w:rFonts w:ascii="宋体" w:hAnsi="宋体"/>
                <w:bCs/>
                <w:kern w:val="0"/>
                <w:szCs w:val="21"/>
              </w:rPr>
            </w:pPr>
            <w:r>
              <w:rPr>
                <w:rFonts w:hint="eastAsia" w:ascii="宋体" w:hAnsi="宋体"/>
                <w:bCs/>
                <w:kern w:val="0"/>
                <w:szCs w:val="21"/>
              </w:rPr>
              <w:t>0.60</w:t>
            </w:r>
          </w:p>
        </w:tc>
        <w:tc>
          <w:tcPr>
            <w:tcW w:w="1258" w:type="dxa"/>
            <w:tcBorders>
              <w:top w:val="nil"/>
              <w:left w:val="nil"/>
              <w:bottom w:val="single" w:color="auto" w:sz="4" w:space="0"/>
              <w:right w:val="nil"/>
            </w:tcBorders>
            <w:vAlign w:val="center"/>
          </w:tcPr>
          <w:p>
            <w:pPr>
              <w:widowControl/>
              <w:spacing w:line="410" w:lineRule="exact"/>
              <w:jc w:val="center"/>
              <w:rPr>
                <w:rFonts w:ascii="宋体" w:hAnsi="宋体"/>
                <w:bCs/>
                <w:kern w:val="0"/>
                <w:szCs w:val="21"/>
              </w:rPr>
            </w:pPr>
            <w:r>
              <w:rPr>
                <w:rFonts w:hint="eastAsia" w:ascii="宋体" w:hAnsi="宋体"/>
                <w:bCs/>
                <w:kern w:val="0"/>
                <w:szCs w:val="21"/>
              </w:rPr>
              <w:t>0.80</w:t>
            </w:r>
          </w:p>
        </w:tc>
        <w:tc>
          <w:tcPr>
            <w:tcW w:w="1256" w:type="dxa"/>
            <w:tcBorders>
              <w:top w:val="nil"/>
              <w:left w:val="nil"/>
              <w:bottom w:val="single" w:color="auto" w:sz="4" w:space="0"/>
              <w:right w:val="nil"/>
            </w:tcBorders>
            <w:vAlign w:val="center"/>
          </w:tcPr>
          <w:p>
            <w:pPr>
              <w:widowControl/>
              <w:spacing w:line="410" w:lineRule="exact"/>
              <w:jc w:val="center"/>
              <w:rPr>
                <w:rFonts w:ascii="宋体" w:hAnsi="宋体"/>
                <w:bCs/>
                <w:kern w:val="0"/>
                <w:szCs w:val="21"/>
              </w:rPr>
            </w:pPr>
            <w:r>
              <w:rPr>
                <w:rFonts w:hint="eastAsia" w:ascii="宋体" w:hAnsi="宋体"/>
                <w:bCs/>
                <w:kern w:val="0"/>
                <w:szCs w:val="21"/>
              </w:rPr>
              <w:t>0.56</w:t>
            </w:r>
          </w:p>
        </w:tc>
        <w:tc>
          <w:tcPr>
            <w:tcW w:w="1256" w:type="dxa"/>
            <w:tcBorders>
              <w:top w:val="nil"/>
              <w:left w:val="nil"/>
              <w:bottom w:val="single" w:color="auto" w:sz="4" w:space="0"/>
              <w:right w:val="nil"/>
            </w:tcBorders>
            <w:vAlign w:val="center"/>
          </w:tcPr>
          <w:p>
            <w:pPr>
              <w:widowControl/>
              <w:spacing w:line="410" w:lineRule="exact"/>
              <w:jc w:val="center"/>
              <w:rPr>
                <w:rFonts w:ascii="宋体" w:hAnsi="宋体"/>
                <w:bCs/>
                <w:kern w:val="0"/>
                <w:szCs w:val="21"/>
              </w:rPr>
            </w:pPr>
            <w:r>
              <w:rPr>
                <w:rFonts w:hint="eastAsia" w:ascii="宋体" w:hAnsi="宋体"/>
                <w:bCs/>
                <w:kern w:val="0"/>
                <w:szCs w:val="21"/>
              </w:rPr>
              <w:t>0.65</w:t>
            </w:r>
          </w:p>
        </w:tc>
        <w:tc>
          <w:tcPr>
            <w:tcW w:w="1258" w:type="dxa"/>
            <w:tcBorders>
              <w:top w:val="nil"/>
              <w:left w:val="nil"/>
              <w:bottom w:val="single" w:color="auto" w:sz="4" w:space="0"/>
              <w:right w:val="nil"/>
            </w:tcBorders>
            <w:vAlign w:val="center"/>
          </w:tcPr>
          <w:p>
            <w:pPr>
              <w:widowControl/>
              <w:spacing w:line="410" w:lineRule="exact"/>
              <w:jc w:val="center"/>
              <w:rPr>
                <w:rFonts w:ascii="宋体" w:hAnsi="宋体"/>
                <w:bCs/>
                <w:kern w:val="0"/>
                <w:szCs w:val="21"/>
              </w:rPr>
            </w:pPr>
            <w:r>
              <w:rPr>
                <w:rFonts w:hint="eastAsia" w:ascii="宋体" w:hAnsi="宋体"/>
                <w:bCs/>
                <w:kern w:val="0"/>
                <w:szCs w:val="21"/>
              </w:rPr>
              <w:t>0.49</w:t>
            </w:r>
          </w:p>
        </w:tc>
      </w:tr>
    </w:tbl>
    <w:p>
      <w:pPr>
        <w:pStyle w:val="5"/>
        <w:adjustRightInd w:val="0"/>
        <w:snapToGrid w:val="0"/>
        <w:spacing w:line="430" w:lineRule="exact"/>
        <w:ind w:firstLine="480"/>
        <w:rPr>
          <w:rFonts w:hint="eastAsia" w:ascii="黑体" w:hAnsi="宋体" w:eastAsia="黑体"/>
          <w:snapToGrid w:val="0"/>
          <w:color w:val="000000"/>
          <w:kern w:val="0"/>
          <w:sz w:val="24"/>
        </w:rPr>
      </w:pPr>
      <w:r>
        <w:rPr>
          <w:rFonts w:hint="eastAsia" w:ascii="黑体" w:hAnsi="宋体" w:eastAsia="黑体"/>
          <w:snapToGrid w:val="0"/>
          <w:color w:val="000000"/>
          <w:kern w:val="0"/>
          <w:sz w:val="24"/>
        </w:rPr>
        <w:t>二、耐多药肺结核</w:t>
      </w:r>
    </w:p>
    <w:p>
      <w:pPr>
        <w:adjustRightInd w:val="0"/>
        <w:snapToGrid w:val="0"/>
        <w:spacing w:line="430" w:lineRule="exact"/>
        <w:ind w:firstLine="480" w:firstLineChars="200"/>
        <w:rPr>
          <w:rFonts w:hint="eastAsia" w:ascii="方正楷体简体" w:hAnsi="宋体" w:eastAsia="方正楷体简体"/>
          <w:snapToGrid w:val="0"/>
          <w:color w:val="000000"/>
          <w:kern w:val="0"/>
          <w:sz w:val="24"/>
        </w:rPr>
      </w:pPr>
      <w:r>
        <w:rPr>
          <w:rFonts w:hint="eastAsia" w:ascii="方正楷体简体" w:hAnsi="宋体" w:eastAsia="方正楷体简体"/>
          <w:snapToGrid w:val="0"/>
          <w:color w:val="000000"/>
          <w:kern w:val="0"/>
          <w:sz w:val="24"/>
        </w:rPr>
        <w:t>（一）适用对象。</w:t>
      </w:r>
    </w:p>
    <w:p>
      <w:pPr>
        <w:adjustRightInd w:val="0"/>
        <w:snapToGrid w:val="0"/>
        <w:spacing w:line="430" w:lineRule="exact"/>
        <w:ind w:firstLine="480" w:firstLineChars="200"/>
        <w:rPr>
          <w:rFonts w:ascii="宋体" w:hAnsi="宋体"/>
          <w:snapToGrid w:val="0"/>
          <w:color w:val="000000"/>
          <w:kern w:val="0"/>
          <w:sz w:val="24"/>
        </w:rPr>
      </w:pPr>
      <w:r>
        <w:rPr>
          <w:rFonts w:hint="eastAsia" w:ascii="宋体" w:hAnsi="宋体"/>
          <w:snapToGrid w:val="0"/>
          <w:color w:val="000000"/>
          <w:kern w:val="0"/>
          <w:sz w:val="24"/>
        </w:rPr>
        <w:t>以单纯耐多药肺结核（ICD-10：A15.0、A15.1）为第一诊断的患者，在定点医疗机构住院和门诊治疗发生的费用，纳入新农合重大疾病按病种付费范围。</w:t>
      </w:r>
    </w:p>
    <w:p>
      <w:pPr>
        <w:adjustRightInd w:val="0"/>
        <w:snapToGrid w:val="0"/>
        <w:spacing w:line="430" w:lineRule="exact"/>
        <w:ind w:firstLine="480" w:firstLineChars="200"/>
        <w:rPr>
          <w:rFonts w:hint="eastAsia" w:ascii="方正楷体简体" w:hAnsi="宋体" w:eastAsia="方正楷体简体"/>
          <w:snapToGrid w:val="0"/>
          <w:color w:val="000000"/>
          <w:kern w:val="0"/>
          <w:sz w:val="24"/>
        </w:rPr>
      </w:pPr>
      <w:r>
        <w:rPr>
          <w:rFonts w:hint="eastAsia" w:ascii="方正楷体简体" w:hAnsi="宋体" w:eastAsia="方正楷体简体"/>
          <w:snapToGrid w:val="0"/>
          <w:color w:val="000000"/>
          <w:kern w:val="0"/>
          <w:sz w:val="24"/>
        </w:rPr>
        <w:t>（二）支付条件。</w:t>
      </w:r>
    </w:p>
    <w:p>
      <w:pPr>
        <w:adjustRightInd w:val="0"/>
        <w:snapToGrid w:val="0"/>
        <w:spacing w:line="430" w:lineRule="exact"/>
        <w:ind w:firstLine="480" w:firstLineChars="200"/>
        <w:rPr>
          <w:rFonts w:ascii="宋体" w:hAnsi="宋体"/>
          <w:snapToGrid w:val="0"/>
          <w:color w:val="000000"/>
          <w:kern w:val="0"/>
          <w:sz w:val="24"/>
        </w:rPr>
      </w:pPr>
      <w:r>
        <w:rPr>
          <w:rFonts w:hint="eastAsia" w:ascii="宋体" w:hAnsi="宋体"/>
          <w:snapToGrid w:val="0"/>
          <w:color w:val="000000"/>
          <w:kern w:val="0"/>
          <w:sz w:val="24"/>
        </w:rPr>
        <w:t>治疗过程需严格按照卫生部《</w:t>
      </w:r>
      <w:r>
        <w:rPr>
          <w:rFonts w:hint="eastAsia" w:ascii="宋体" w:hAnsi="宋体" w:cs="宋体"/>
          <w:snapToGrid w:val="0"/>
          <w:color w:val="000000"/>
          <w:kern w:val="0"/>
          <w:sz w:val="24"/>
        </w:rPr>
        <w:t>耐多药肺结核临床路径</w:t>
      </w:r>
      <w:r>
        <w:rPr>
          <w:rFonts w:ascii="宋体" w:hAnsi="宋体" w:cs="宋体"/>
          <w:snapToGrid w:val="0"/>
          <w:color w:val="000000"/>
          <w:kern w:val="0"/>
          <w:sz w:val="24"/>
        </w:rPr>
        <w:t>（20</w:t>
      </w:r>
      <w:r>
        <w:rPr>
          <w:rFonts w:hint="eastAsia" w:ascii="宋体" w:hAnsi="宋体" w:cs="宋体"/>
          <w:snapToGrid w:val="0"/>
          <w:color w:val="000000"/>
          <w:kern w:val="0"/>
          <w:sz w:val="24"/>
        </w:rPr>
        <w:t>12</w:t>
      </w:r>
      <w:r>
        <w:rPr>
          <w:rFonts w:ascii="宋体" w:hAnsi="宋体" w:cs="宋体"/>
          <w:snapToGrid w:val="0"/>
          <w:color w:val="000000"/>
          <w:kern w:val="0"/>
          <w:sz w:val="24"/>
        </w:rPr>
        <w:t>年版）</w:t>
      </w:r>
      <w:r>
        <w:rPr>
          <w:rFonts w:hint="eastAsia" w:ascii="宋体" w:hAnsi="宋体" w:cs="宋体"/>
          <w:snapToGrid w:val="0"/>
          <w:color w:val="000000"/>
          <w:kern w:val="0"/>
          <w:sz w:val="24"/>
        </w:rPr>
        <w:t>》</w:t>
      </w:r>
      <w:r>
        <w:rPr>
          <w:rFonts w:hint="eastAsia" w:ascii="宋体" w:hAnsi="宋体"/>
          <w:snapToGrid w:val="0"/>
          <w:color w:val="000000"/>
          <w:kern w:val="0"/>
          <w:sz w:val="24"/>
        </w:rPr>
        <w:t>执行，方可实行按病种付费。</w:t>
      </w:r>
    </w:p>
    <w:p>
      <w:pPr>
        <w:adjustRightInd w:val="0"/>
        <w:snapToGrid w:val="0"/>
        <w:spacing w:line="430" w:lineRule="exact"/>
        <w:ind w:firstLine="480" w:firstLineChars="200"/>
        <w:rPr>
          <w:rFonts w:hint="eastAsia" w:ascii="方正楷体简体" w:hAnsi="宋体" w:eastAsia="方正楷体简体"/>
          <w:snapToGrid w:val="0"/>
          <w:color w:val="000000"/>
          <w:kern w:val="0"/>
          <w:sz w:val="24"/>
        </w:rPr>
      </w:pPr>
      <w:r>
        <w:rPr>
          <w:rFonts w:hint="eastAsia" w:ascii="方正楷体简体" w:hAnsi="宋体" w:eastAsia="方正楷体简体"/>
          <w:snapToGrid w:val="0"/>
          <w:color w:val="000000"/>
          <w:kern w:val="0"/>
          <w:sz w:val="24"/>
        </w:rPr>
        <w:t>（三）支付标准。</w:t>
      </w:r>
    </w:p>
    <w:p>
      <w:pPr>
        <w:adjustRightInd w:val="0"/>
        <w:snapToGrid w:val="0"/>
        <w:spacing w:line="430" w:lineRule="exact"/>
        <w:ind w:firstLine="480" w:firstLineChars="200"/>
        <w:rPr>
          <w:rFonts w:ascii="宋体" w:hAnsi="宋体"/>
          <w:snapToGrid w:val="0"/>
          <w:color w:val="000000"/>
          <w:kern w:val="0"/>
          <w:sz w:val="24"/>
        </w:rPr>
      </w:pPr>
      <w:r>
        <w:rPr>
          <w:rFonts w:hint="eastAsia" w:ascii="宋体" w:hAnsi="宋体"/>
          <w:snapToGrid w:val="0"/>
          <w:color w:val="000000"/>
          <w:kern w:val="0"/>
          <w:sz w:val="24"/>
        </w:rPr>
        <w:t>支付费用包括患者每次住院期间和全年门诊治疗的费用。对住院患者采取限额支付标准，限额标准内费用的70%由新农合基金支付。门诊费用最高限额为3000元，限额标准内费用的70%由新农合基金支付。</w:t>
      </w:r>
      <w:r>
        <w:rPr>
          <w:rFonts w:ascii="宋体" w:hAnsi="宋体"/>
          <w:snapToGrid w:val="0"/>
          <w:color w:val="000000"/>
          <w:kern w:val="0"/>
          <w:sz w:val="24"/>
        </w:rPr>
        <w:t xml:space="preserve"> </w:t>
      </w:r>
    </w:p>
    <w:p>
      <w:pPr>
        <w:adjustRightInd w:val="0"/>
        <w:snapToGrid w:val="0"/>
        <w:spacing w:line="430" w:lineRule="exact"/>
        <w:ind w:firstLine="480" w:firstLineChars="200"/>
        <w:jc w:val="center"/>
        <w:rPr>
          <w:rFonts w:ascii="宋体" w:hAnsi="宋体"/>
          <w:sz w:val="24"/>
        </w:rPr>
      </w:pPr>
      <w:r>
        <w:rPr>
          <w:rFonts w:hint="eastAsia" w:ascii="宋体" w:hAnsi="宋体"/>
          <w:sz w:val="24"/>
        </w:rPr>
        <w:t>表2  耐多药肺结核住院治疗费用的限额支付标准</w:t>
      </w:r>
    </w:p>
    <w:tbl>
      <w:tblPr>
        <w:tblStyle w:val="4"/>
        <w:tblW w:w="7484" w:type="dxa"/>
        <w:jc w:val="center"/>
        <w:tblInd w:w="0" w:type="dxa"/>
        <w:tblLayout w:type="fixed"/>
        <w:tblCellMar>
          <w:top w:w="0" w:type="dxa"/>
          <w:left w:w="108" w:type="dxa"/>
          <w:bottom w:w="0" w:type="dxa"/>
          <w:right w:w="108" w:type="dxa"/>
        </w:tblCellMar>
      </w:tblPr>
      <w:tblGrid>
        <w:gridCol w:w="1968"/>
        <w:gridCol w:w="1856"/>
        <w:gridCol w:w="1556"/>
        <w:gridCol w:w="2104"/>
      </w:tblGrid>
      <w:tr>
        <w:tblPrEx>
          <w:tblLayout w:type="fixed"/>
          <w:tblCellMar>
            <w:top w:w="0" w:type="dxa"/>
            <w:left w:w="108" w:type="dxa"/>
            <w:bottom w:w="0" w:type="dxa"/>
            <w:right w:w="108" w:type="dxa"/>
          </w:tblCellMar>
        </w:tblPrEx>
        <w:trPr>
          <w:trHeight w:val="490" w:hRule="atLeast"/>
          <w:jc w:val="center"/>
        </w:trPr>
        <w:tc>
          <w:tcPr>
            <w:tcW w:w="3824" w:type="dxa"/>
            <w:gridSpan w:val="2"/>
            <w:tcBorders>
              <w:top w:val="single" w:color="auto" w:sz="4" w:space="0"/>
              <w:left w:val="nil"/>
              <w:bottom w:val="single" w:color="auto" w:sz="4" w:space="0"/>
              <w:right w:val="nil"/>
            </w:tcBorders>
            <w:vAlign w:val="center"/>
          </w:tcPr>
          <w:p>
            <w:pPr>
              <w:widowControl/>
              <w:spacing w:line="410" w:lineRule="exact"/>
              <w:jc w:val="left"/>
              <w:rPr>
                <w:rFonts w:ascii="宋体" w:hAnsi="宋体" w:cs="宋体"/>
                <w:b/>
                <w:bCs/>
                <w:kern w:val="0"/>
                <w:szCs w:val="21"/>
              </w:rPr>
            </w:pPr>
            <w:r>
              <w:rPr>
                <w:rFonts w:hint="eastAsia" w:ascii="宋体" w:hAnsi="宋体" w:cs="宋体"/>
                <w:b/>
                <w:bCs/>
                <w:kern w:val="0"/>
                <w:szCs w:val="21"/>
              </w:rPr>
              <w:t xml:space="preserve">      省级定点救治医院（万元）   </w:t>
            </w:r>
          </w:p>
        </w:tc>
        <w:tc>
          <w:tcPr>
            <w:tcW w:w="3660" w:type="dxa"/>
            <w:gridSpan w:val="2"/>
            <w:tcBorders>
              <w:top w:val="single" w:color="auto" w:sz="4" w:space="0"/>
              <w:left w:val="nil"/>
              <w:bottom w:val="single" w:color="auto" w:sz="4" w:space="0"/>
              <w:right w:val="nil"/>
            </w:tcBorders>
            <w:vAlign w:val="center"/>
          </w:tcPr>
          <w:p>
            <w:pPr>
              <w:widowControl/>
              <w:spacing w:line="410" w:lineRule="exact"/>
              <w:jc w:val="center"/>
              <w:rPr>
                <w:rFonts w:ascii="宋体" w:hAnsi="宋体" w:cs="宋体"/>
                <w:b/>
                <w:bCs/>
                <w:kern w:val="0"/>
                <w:szCs w:val="21"/>
              </w:rPr>
            </w:pPr>
            <w:r>
              <w:rPr>
                <w:rFonts w:hint="eastAsia" w:ascii="宋体" w:hAnsi="宋体" w:cs="宋体"/>
                <w:b/>
                <w:bCs/>
                <w:kern w:val="0"/>
                <w:szCs w:val="21"/>
              </w:rPr>
              <w:t>三级医院（万元）</w:t>
            </w:r>
          </w:p>
        </w:tc>
      </w:tr>
      <w:tr>
        <w:tblPrEx>
          <w:tblLayout w:type="fixed"/>
          <w:tblCellMar>
            <w:top w:w="0" w:type="dxa"/>
            <w:left w:w="108" w:type="dxa"/>
            <w:bottom w:w="0" w:type="dxa"/>
            <w:right w:w="108" w:type="dxa"/>
          </w:tblCellMar>
        </w:tblPrEx>
        <w:trPr>
          <w:trHeight w:val="270" w:hRule="atLeast"/>
          <w:jc w:val="center"/>
        </w:trPr>
        <w:tc>
          <w:tcPr>
            <w:tcW w:w="1968" w:type="dxa"/>
            <w:tcBorders>
              <w:top w:val="nil"/>
              <w:left w:val="nil"/>
              <w:bottom w:val="nil"/>
              <w:right w:val="nil"/>
            </w:tcBorders>
            <w:vAlign w:val="center"/>
          </w:tcPr>
          <w:p>
            <w:pPr>
              <w:widowControl/>
              <w:spacing w:line="410" w:lineRule="exact"/>
              <w:jc w:val="center"/>
              <w:rPr>
                <w:rFonts w:ascii="宋体" w:hAnsi="宋体" w:cs="宋体"/>
                <w:b/>
                <w:bCs/>
                <w:kern w:val="0"/>
                <w:szCs w:val="21"/>
              </w:rPr>
            </w:pPr>
            <w:r>
              <w:rPr>
                <w:rFonts w:hint="eastAsia" w:ascii="宋体" w:hAnsi="宋体" w:cs="宋体"/>
                <w:b/>
                <w:bCs/>
                <w:kern w:val="0"/>
                <w:szCs w:val="21"/>
              </w:rPr>
              <w:t>支付标准</w:t>
            </w:r>
          </w:p>
        </w:tc>
        <w:tc>
          <w:tcPr>
            <w:tcW w:w="1856" w:type="dxa"/>
            <w:tcBorders>
              <w:top w:val="nil"/>
              <w:left w:val="nil"/>
              <w:bottom w:val="nil"/>
              <w:right w:val="nil"/>
            </w:tcBorders>
            <w:vAlign w:val="center"/>
          </w:tcPr>
          <w:p>
            <w:pPr>
              <w:widowControl/>
              <w:spacing w:line="410" w:lineRule="exact"/>
              <w:jc w:val="center"/>
              <w:rPr>
                <w:rFonts w:ascii="宋体" w:hAnsi="宋体" w:cs="宋体"/>
                <w:b/>
                <w:bCs/>
                <w:kern w:val="0"/>
                <w:szCs w:val="21"/>
              </w:rPr>
            </w:pPr>
            <w:r>
              <w:rPr>
                <w:rFonts w:hint="eastAsia" w:ascii="宋体" w:hAnsi="宋体" w:cs="宋体"/>
                <w:b/>
                <w:bCs/>
                <w:kern w:val="0"/>
                <w:szCs w:val="21"/>
              </w:rPr>
              <w:t>新农合支付</w:t>
            </w:r>
          </w:p>
        </w:tc>
        <w:tc>
          <w:tcPr>
            <w:tcW w:w="1556" w:type="dxa"/>
            <w:tcBorders>
              <w:top w:val="nil"/>
              <w:left w:val="nil"/>
              <w:bottom w:val="nil"/>
              <w:right w:val="nil"/>
            </w:tcBorders>
            <w:vAlign w:val="center"/>
          </w:tcPr>
          <w:p>
            <w:pPr>
              <w:widowControl/>
              <w:spacing w:line="410" w:lineRule="exact"/>
              <w:jc w:val="center"/>
              <w:rPr>
                <w:rFonts w:ascii="宋体" w:hAnsi="宋体" w:cs="宋体"/>
                <w:b/>
                <w:bCs/>
                <w:kern w:val="0"/>
                <w:szCs w:val="21"/>
              </w:rPr>
            </w:pPr>
            <w:r>
              <w:rPr>
                <w:rFonts w:hint="eastAsia" w:ascii="宋体" w:hAnsi="宋体" w:cs="宋体"/>
                <w:b/>
                <w:bCs/>
                <w:kern w:val="0"/>
                <w:szCs w:val="21"/>
              </w:rPr>
              <w:t>支付标准</w:t>
            </w:r>
          </w:p>
        </w:tc>
        <w:tc>
          <w:tcPr>
            <w:tcW w:w="2104" w:type="dxa"/>
            <w:tcBorders>
              <w:top w:val="nil"/>
              <w:left w:val="nil"/>
              <w:bottom w:val="nil"/>
              <w:right w:val="nil"/>
            </w:tcBorders>
            <w:vAlign w:val="center"/>
          </w:tcPr>
          <w:p>
            <w:pPr>
              <w:widowControl/>
              <w:spacing w:line="410" w:lineRule="exact"/>
              <w:jc w:val="center"/>
              <w:rPr>
                <w:rFonts w:ascii="宋体" w:hAnsi="宋体" w:cs="宋体"/>
                <w:b/>
                <w:bCs/>
                <w:kern w:val="0"/>
                <w:szCs w:val="21"/>
              </w:rPr>
            </w:pPr>
            <w:r>
              <w:rPr>
                <w:rFonts w:hint="eastAsia" w:ascii="宋体" w:hAnsi="宋体" w:cs="宋体"/>
                <w:b/>
                <w:bCs/>
                <w:kern w:val="0"/>
                <w:szCs w:val="21"/>
              </w:rPr>
              <w:t>新农合支付</w:t>
            </w:r>
          </w:p>
        </w:tc>
      </w:tr>
      <w:tr>
        <w:tblPrEx>
          <w:tblLayout w:type="fixed"/>
          <w:tblCellMar>
            <w:top w:w="0" w:type="dxa"/>
            <w:left w:w="108" w:type="dxa"/>
            <w:bottom w:w="0" w:type="dxa"/>
            <w:right w:w="108" w:type="dxa"/>
          </w:tblCellMar>
        </w:tblPrEx>
        <w:trPr>
          <w:trHeight w:val="517" w:hRule="atLeast"/>
          <w:jc w:val="center"/>
        </w:trPr>
        <w:tc>
          <w:tcPr>
            <w:tcW w:w="1968" w:type="dxa"/>
            <w:tcBorders>
              <w:top w:val="nil"/>
              <w:left w:val="nil"/>
              <w:bottom w:val="single" w:color="auto" w:sz="4" w:space="0"/>
              <w:right w:val="nil"/>
            </w:tcBorders>
            <w:vAlign w:val="center"/>
          </w:tcPr>
          <w:p>
            <w:pPr>
              <w:widowControl/>
              <w:spacing w:line="410" w:lineRule="exact"/>
              <w:jc w:val="center"/>
              <w:rPr>
                <w:rFonts w:ascii="宋体" w:hAnsi="宋体"/>
                <w:bCs/>
                <w:kern w:val="0"/>
                <w:szCs w:val="21"/>
              </w:rPr>
            </w:pPr>
            <w:r>
              <w:rPr>
                <w:rFonts w:hint="eastAsia" w:ascii="宋体" w:hAnsi="宋体"/>
                <w:bCs/>
                <w:kern w:val="0"/>
                <w:szCs w:val="21"/>
              </w:rPr>
              <w:t>1.64</w:t>
            </w:r>
          </w:p>
        </w:tc>
        <w:tc>
          <w:tcPr>
            <w:tcW w:w="1856" w:type="dxa"/>
            <w:tcBorders>
              <w:top w:val="nil"/>
              <w:left w:val="nil"/>
              <w:bottom w:val="single" w:color="auto" w:sz="4" w:space="0"/>
              <w:right w:val="nil"/>
            </w:tcBorders>
            <w:vAlign w:val="center"/>
          </w:tcPr>
          <w:p>
            <w:pPr>
              <w:widowControl/>
              <w:spacing w:line="410" w:lineRule="exact"/>
              <w:ind w:firstLine="315" w:firstLineChars="150"/>
              <w:jc w:val="center"/>
              <w:rPr>
                <w:rFonts w:ascii="宋体" w:hAnsi="宋体"/>
                <w:bCs/>
                <w:kern w:val="0"/>
                <w:szCs w:val="21"/>
              </w:rPr>
            </w:pPr>
            <w:r>
              <w:rPr>
                <w:rFonts w:hint="eastAsia" w:ascii="宋体" w:hAnsi="宋体"/>
                <w:bCs/>
                <w:kern w:val="0"/>
                <w:szCs w:val="21"/>
              </w:rPr>
              <w:t>1.15</w:t>
            </w:r>
          </w:p>
        </w:tc>
        <w:tc>
          <w:tcPr>
            <w:tcW w:w="1556" w:type="dxa"/>
            <w:tcBorders>
              <w:top w:val="nil"/>
              <w:left w:val="nil"/>
              <w:bottom w:val="single" w:color="auto" w:sz="4" w:space="0"/>
              <w:right w:val="nil"/>
            </w:tcBorders>
            <w:vAlign w:val="center"/>
          </w:tcPr>
          <w:p>
            <w:pPr>
              <w:widowControl/>
              <w:spacing w:line="410" w:lineRule="exact"/>
              <w:jc w:val="center"/>
              <w:rPr>
                <w:rFonts w:ascii="宋体" w:hAnsi="宋体"/>
                <w:bCs/>
                <w:kern w:val="0"/>
                <w:szCs w:val="21"/>
              </w:rPr>
            </w:pPr>
            <w:r>
              <w:rPr>
                <w:rFonts w:hint="eastAsia" w:ascii="宋体" w:hAnsi="宋体"/>
                <w:bCs/>
                <w:kern w:val="0"/>
                <w:szCs w:val="21"/>
              </w:rPr>
              <w:t>1.53</w:t>
            </w:r>
          </w:p>
        </w:tc>
        <w:tc>
          <w:tcPr>
            <w:tcW w:w="2104" w:type="dxa"/>
            <w:tcBorders>
              <w:top w:val="nil"/>
              <w:left w:val="nil"/>
              <w:bottom w:val="single" w:color="auto" w:sz="4" w:space="0"/>
              <w:right w:val="nil"/>
            </w:tcBorders>
            <w:vAlign w:val="center"/>
          </w:tcPr>
          <w:p>
            <w:pPr>
              <w:widowControl/>
              <w:spacing w:line="410" w:lineRule="exact"/>
              <w:jc w:val="center"/>
              <w:rPr>
                <w:rFonts w:ascii="宋体" w:hAnsi="宋体"/>
                <w:bCs/>
                <w:kern w:val="0"/>
                <w:szCs w:val="21"/>
              </w:rPr>
            </w:pPr>
            <w:r>
              <w:rPr>
                <w:rFonts w:hint="eastAsia" w:ascii="宋体" w:hAnsi="宋体"/>
                <w:bCs/>
                <w:kern w:val="0"/>
                <w:szCs w:val="21"/>
              </w:rPr>
              <w:t>1.07</w:t>
            </w:r>
          </w:p>
        </w:tc>
      </w:tr>
    </w:tbl>
    <w:p>
      <w:pPr>
        <w:pStyle w:val="5"/>
        <w:adjustRightInd w:val="0"/>
        <w:snapToGrid w:val="0"/>
        <w:spacing w:line="430" w:lineRule="exact"/>
        <w:ind w:firstLine="480"/>
        <w:rPr>
          <w:rFonts w:hint="eastAsia" w:ascii="黑体" w:hAnsi="宋体" w:eastAsia="黑体"/>
          <w:snapToGrid w:val="0"/>
          <w:color w:val="000000"/>
          <w:kern w:val="0"/>
          <w:sz w:val="24"/>
        </w:rPr>
      </w:pPr>
      <w:r>
        <w:rPr>
          <w:rFonts w:hint="eastAsia" w:ascii="黑体" w:hAnsi="宋体" w:eastAsia="黑体"/>
          <w:snapToGrid w:val="0"/>
          <w:color w:val="000000"/>
          <w:kern w:val="0"/>
          <w:sz w:val="24"/>
        </w:rPr>
        <w:t>三、唇腭裂</w:t>
      </w:r>
    </w:p>
    <w:p>
      <w:pPr>
        <w:adjustRightInd w:val="0"/>
        <w:snapToGrid w:val="0"/>
        <w:spacing w:line="430" w:lineRule="exact"/>
        <w:ind w:firstLine="480" w:firstLineChars="200"/>
        <w:rPr>
          <w:rFonts w:hint="eastAsia" w:ascii="方正楷体简体" w:hAnsi="宋体" w:eastAsia="方正楷体简体"/>
          <w:snapToGrid w:val="0"/>
          <w:color w:val="000000"/>
          <w:kern w:val="0"/>
          <w:sz w:val="24"/>
        </w:rPr>
      </w:pPr>
      <w:r>
        <w:rPr>
          <w:rFonts w:hint="eastAsia" w:ascii="方正楷体简体" w:hAnsi="宋体" w:eastAsia="方正楷体简体"/>
          <w:snapToGrid w:val="0"/>
          <w:color w:val="000000"/>
          <w:kern w:val="0"/>
          <w:sz w:val="24"/>
        </w:rPr>
        <w:t>（一）适用对象。</w:t>
      </w:r>
    </w:p>
    <w:p>
      <w:pPr>
        <w:adjustRightInd w:val="0"/>
        <w:snapToGrid w:val="0"/>
        <w:spacing w:line="430" w:lineRule="exact"/>
        <w:ind w:firstLine="480" w:firstLineChars="200"/>
        <w:rPr>
          <w:rFonts w:ascii="宋体" w:hAnsi="宋体" w:cs="宋体"/>
          <w:snapToGrid w:val="0"/>
          <w:color w:val="000000"/>
          <w:kern w:val="0"/>
          <w:sz w:val="24"/>
        </w:rPr>
      </w:pPr>
      <w:r>
        <w:rPr>
          <w:rFonts w:hint="eastAsia" w:ascii="宋体" w:hAnsi="宋体"/>
          <w:snapToGrid w:val="0"/>
          <w:color w:val="000000"/>
          <w:kern w:val="0"/>
          <w:sz w:val="24"/>
        </w:rPr>
        <w:t>以唇裂</w:t>
      </w:r>
      <w:r>
        <w:rPr>
          <w:rFonts w:hint="eastAsia" w:ascii="宋体" w:hAnsi="宋体" w:cs="宋体"/>
          <w:snapToGrid w:val="0"/>
          <w:color w:val="000000"/>
          <w:kern w:val="0"/>
          <w:sz w:val="24"/>
        </w:rPr>
        <w:t>（ICD-10：Q36）</w:t>
      </w:r>
      <w:r>
        <w:rPr>
          <w:rFonts w:hint="eastAsia" w:ascii="宋体" w:hAnsi="宋体"/>
          <w:snapToGrid w:val="0"/>
          <w:color w:val="000000"/>
          <w:kern w:val="0"/>
          <w:sz w:val="24"/>
        </w:rPr>
        <w:t>为第一诊断</w:t>
      </w:r>
      <w:r>
        <w:rPr>
          <w:rFonts w:hint="eastAsia" w:ascii="宋体" w:hAnsi="宋体" w:cs="宋体"/>
          <w:snapToGrid w:val="0"/>
          <w:color w:val="000000"/>
          <w:kern w:val="0"/>
          <w:sz w:val="24"/>
        </w:rPr>
        <w:t>、行唇裂修复术（ICD-9-CM-3：27.54）和以腭裂（ICD-10：Q35）</w:t>
      </w:r>
      <w:r>
        <w:rPr>
          <w:rFonts w:hint="eastAsia" w:ascii="宋体" w:hAnsi="宋体"/>
          <w:snapToGrid w:val="0"/>
          <w:color w:val="000000"/>
          <w:kern w:val="0"/>
          <w:sz w:val="24"/>
        </w:rPr>
        <w:t>为第一诊断</w:t>
      </w:r>
      <w:r>
        <w:rPr>
          <w:rFonts w:hint="eastAsia" w:ascii="宋体" w:hAnsi="宋体" w:cs="宋体"/>
          <w:snapToGrid w:val="0"/>
          <w:color w:val="000000"/>
          <w:kern w:val="0"/>
          <w:sz w:val="24"/>
        </w:rPr>
        <w:t>、行腭裂修复术（ICD-9-CM-3：27.62）的患者，</w:t>
      </w:r>
      <w:r>
        <w:rPr>
          <w:rFonts w:hint="eastAsia" w:ascii="宋体" w:hAnsi="宋体"/>
          <w:snapToGrid w:val="0"/>
          <w:color w:val="000000"/>
          <w:kern w:val="0"/>
          <w:sz w:val="24"/>
        </w:rPr>
        <w:t>在定点医疗机构住院发生的费用，纳入新农合重大疾病按病种付费范围。</w:t>
      </w:r>
    </w:p>
    <w:p>
      <w:pPr>
        <w:adjustRightInd w:val="0"/>
        <w:snapToGrid w:val="0"/>
        <w:spacing w:line="430" w:lineRule="exact"/>
        <w:ind w:firstLine="480" w:firstLineChars="200"/>
        <w:rPr>
          <w:rFonts w:hint="eastAsia" w:ascii="方正楷体简体" w:hAnsi="宋体" w:eastAsia="方正楷体简体"/>
          <w:snapToGrid w:val="0"/>
          <w:color w:val="000000"/>
          <w:kern w:val="0"/>
          <w:sz w:val="24"/>
        </w:rPr>
      </w:pPr>
      <w:r>
        <w:rPr>
          <w:rFonts w:hint="eastAsia" w:ascii="方正楷体简体" w:hAnsi="宋体" w:eastAsia="方正楷体简体"/>
          <w:snapToGrid w:val="0"/>
          <w:color w:val="000000"/>
          <w:kern w:val="0"/>
          <w:sz w:val="24"/>
        </w:rPr>
        <w:t>（二）支付条件。</w:t>
      </w:r>
    </w:p>
    <w:p>
      <w:pPr>
        <w:adjustRightInd w:val="0"/>
        <w:snapToGrid w:val="0"/>
        <w:spacing w:line="430" w:lineRule="exact"/>
        <w:ind w:firstLine="480" w:firstLineChars="200"/>
        <w:rPr>
          <w:rFonts w:ascii="宋体" w:hAnsi="宋体"/>
          <w:snapToGrid w:val="0"/>
          <w:color w:val="000000"/>
          <w:kern w:val="0"/>
          <w:sz w:val="24"/>
        </w:rPr>
      </w:pPr>
      <w:r>
        <w:rPr>
          <w:rFonts w:hint="eastAsia" w:ascii="宋体" w:hAnsi="宋体"/>
          <w:snapToGrid w:val="0"/>
          <w:color w:val="000000"/>
          <w:kern w:val="0"/>
          <w:sz w:val="24"/>
        </w:rPr>
        <w:t>治疗过程需严格按照《唇裂临床路径（2009年版）》和《腭裂临床路径（2009年版）》执行，方可实行按病种付费。</w:t>
      </w:r>
    </w:p>
    <w:p>
      <w:pPr>
        <w:adjustRightInd w:val="0"/>
        <w:snapToGrid w:val="0"/>
        <w:spacing w:line="430" w:lineRule="exact"/>
        <w:ind w:firstLine="480" w:firstLineChars="200"/>
        <w:rPr>
          <w:rFonts w:hint="eastAsia" w:ascii="方正楷体简体" w:hAnsi="宋体" w:eastAsia="方正楷体简体"/>
          <w:snapToGrid w:val="0"/>
          <w:color w:val="000000"/>
          <w:kern w:val="0"/>
          <w:sz w:val="24"/>
        </w:rPr>
      </w:pPr>
      <w:r>
        <w:rPr>
          <w:rFonts w:hint="eastAsia" w:ascii="方正楷体简体" w:hAnsi="宋体" w:eastAsia="方正楷体简体"/>
          <w:snapToGrid w:val="0"/>
          <w:color w:val="000000"/>
          <w:kern w:val="0"/>
          <w:sz w:val="24"/>
        </w:rPr>
        <w:t>（三）支付标准。</w:t>
      </w:r>
    </w:p>
    <w:p>
      <w:pPr>
        <w:adjustRightInd w:val="0"/>
        <w:snapToGrid w:val="0"/>
        <w:spacing w:line="430" w:lineRule="exact"/>
        <w:ind w:firstLine="480" w:firstLineChars="200"/>
        <w:rPr>
          <w:rFonts w:ascii="宋体" w:hAnsi="宋体"/>
          <w:snapToGrid w:val="0"/>
          <w:color w:val="000000"/>
          <w:kern w:val="0"/>
          <w:sz w:val="24"/>
        </w:rPr>
      </w:pPr>
      <w:r>
        <w:rPr>
          <w:rFonts w:hint="eastAsia" w:ascii="宋体" w:hAnsi="宋体"/>
          <w:snapToGrid w:val="0"/>
          <w:color w:val="000000"/>
          <w:kern w:val="0"/>
          <w:sz w:val="24"/>
        </w:rPr>
        <w:t>支付的费用包括患者每次住院期间发生的费用。医院应按照定额支付标准收取费用，其中三级医院相应标准的70%，二级医院相应标准的75%由新农合基金支付。</w:t>
      </w:r>
    </w:p>
    <w:p>
      <w:pPr>
        <w:pStyle w:val="5"/>
        <w:spacing w:line="430" w:lineRule="exact"/>
        <w:ind w:firstLine="0" w:firstLineChars="0"/>
        <w:jc w:val="center"/>
        <w:rPr>
          <w:rFonts w:ascii="宋体" w:hAnsi="宋体"/>
          <w:sz w:val="24"/>
        </w:rPr>
      </w:pPr>
      <w:r>
        <w:rPr>
          <w:rFonts w:hint="eastAsia" w:ascii="宋体" w:hAnsi="宋体"/>
          <w:b/>
          <w:sz w:val="24"/>
        </w:rPr>
        <w:t xml:space="preserve"> </w:t>
      </w:r>
      <w:r>
        <w:rPr>
          <w:rFonts w:hint="eastAsia" w:ascii="宋体" w:hAnsi="宋体"/>
          <w:sz w:val="24"/>
        </w:rPr>
        <w:t xml:space="preserve"> 表3-1   唇裂住院治疗费用的定额支付标准</w:t>
      </w:r>
    </w:p>
    <w:tbl>
      <w:tblPr>
        <w:tblStyle w:val="4"/>
        <w:tblW w:w="7484" w:type="dxa"/>
        <w:jc w:val="center"/>
        <w:tblInd w:w="0" w:type="dxa"/>
        <w:tblLayout w:type="fixed"/>
        <w:tblCellMar>
          <w:top w:w="0" w:type="dxa"/>
          <w:left w:w="28" w:type="dxa"/>
          <w:bottom w:w="0" w:type="dxa"/>
          <w:right w:w="28" w:type="dxa"/>
        </w:tblCellMar>
      </w:tblPr>
      <w:tblGrid>
        <w:gridCol w:w="1336"/>
        <w:gridCol w:w="1336"/>
        <w:gridCol w:w="1203"/>
        <w:gridCol w:w="1203"/>
        <w:gridCol w:w="1203"/>
        <w:gridCol w:w="1203"/>
      </w:tblGrid>
      <w:tr>
        <w:tblPrEx>
          <w:tblLayout w:type="fixed"/>
          <w:tblCellMar>
            <w:top w:w="0" w:type="dxa"/>
            <w:left w:w="28" w:type="dxa"/>
            <w:bottom w:w="0" w:type="dxa"/>
            <w:right w:w="28" w:type="dxa"/>
          </w:tblCellMar>
        </w:tblPrEx>
        <w:trPr>
          <w:trHeight w:val="450" w:hRule="atLeast"/>
          <w:jc w:val="center"/>
        </w:trPr>
        <w:tc>
          <w:tcPr>
            <w:tcW w:w="2672" w:type="dxa"/>
            <w:gridSpan w:val="2"/>
            <w:tcBorders>
              <w:top w:val="single" w:color="auto" w:sz="4" w:space="0"/>
              <w:left w:val="nil"/>
              <w:bottom w:val="single" w:color="auto" w:sz="4" w:space="0"/>
              <w:right w:val="nil"/>
            </w:tcBorders>
            <w:vAlign w:val="center"/>
          </w:tcPr>
          <w:p>
            <w:pPr>
              <w:widowControl/>
              <w:spacing w:line="410" w:lineRule="exact"/>
              <w:rPr>
                <w:rFonts w:ascii="宋体" w:hAnsi="宋体" w:cs="宋体"/>
                <w:b/>
                <w:bCs/>
                <w:kern w:val="0"/>
                <w:szCs w:val="21"/>
              </w:rPr>
            </w:pPr>
            <w:r>
              <w:rPr>
                <w:rFonts w:hint="eastAsia" w:ascii="宋体" w:hAnsi="宋体" w:cs="宋体"/>
                <w:b/>
                <w:bCs/>
                <w:kern w:val="0"/>
                <w:szCs w:val="21"/>
              </w:rPr>
              <w:t>省级定点救治医院（万元）</w:t>
            </w:r>
          </w:p>
        </w:tc>
        <w:tc>
          <w:tcPr>
            <w:tcW w:w="2406" w:type="dxa"/>
            <w:gridSpan w:val="2"/>
            <w:tcBorders>
              <w:top w:val="single" w:color="auto" w:sz="4" w:space="0"/>
              <w:left w:val="nil"/>
              <w:bottom w:val="single" w:color="auto" w:sz="4" w:space="0"/>
              <w:right w:val="nil"/>
            </w:tcBorders>
            <w:vAlign w:val="center"/>
          </w:tcPr>
          <w:p>
            <w:pPr>
              <w:widowControl/>
              <w:spacing w:line="410" w:lineRule="exact"/>
              <w:jc w:val="center"/>
              <w:rPr>
                <w:rFonts w:ascii="宋体" w:hAnsi="宋体" w:cs="宋体"/>
                <w:b/>
                <w:bCs/>
                <w:kern w:val="0"/>
                <w:szCs w:val="21"/>
              </w:rPr>
            </w:pPr>
            <w:r>
              <w:rPr>
                <w:rFonts w:hint="eastAsia" w:ascii="宋体" w:hAnsi="宋体" w:cs="宋体"/>
                <w:b/>
                <w:bCs/>
                <w:kern w:val="0"/>
                <w:szCs w:val="21"/>
              </w:rPr>
              <w:t>三级医院（万元）</w:t>
            </w:r>
          </w:p>
        </w:tc>
        <w:tc>
          <w:tcPr>
            <w:tcW w:w="2406" w:type="dxa"/>
            <w:gridSpan w:val="2"/>
            <w:tcBorders>
              <w:top w:val="single" w:color="auto" w:sz="4" w:space="0"/>
              <w:left w:val="nil"/>
              <w:bottom w:val="single" w:color="auto" w:sz="4" w:space="0"/>
              <w:right w:val="nil"/>
            </w:tcBorders>
            <w:vAlign w:val="center"/>
          </w:tcPr>
          <w:p>
            <w:pPr>
              <w:widowControl/>
              <w:spacing w:line="410" w:lineRule="exact"/>
              <w:jc w:val="center"/>
              <w:rPr>
                <w:rFonts w:ascii="宋体" w:hAnsi="宋体" w:cs="宋体"/>
                <w:b/>
                <w:bCs/>
                <w:kern w:val="0"/>
                <w:szCs w:val="21"/>
              </w:rPr>
            </w:pPr>
            <w:r>
              <w:rPr>
                <w:rFonts w:hint="eastAsia" w:ascii="宋体" w:hAnsi="宋体" w:cs="宋体"/>
                <w:b/>
                <w:bCs/>
                <w:kern w:val="0"/>
                <w:szCs w:val="21"/>
              </w:rPr>
              <w:t xml:space="preserve"> 二级医院（万元）</w:t>
            </w:r>
          </w:p>
        </w:tc>
      </w:tr>
      <w:tr>
        <w:tblPrEx>
          <w:tblLayout w:type="fixed"/>
          <w:tblCellMar>
            <w:top w:w="0" w:type="dxa"/>
            <w:left w:w="28" w:type="dxa"/>
            <w:bottom w:w="0" w:type="dxa"/>
            <w:right w:w="28" w:type="dxa"/>
          </w:tblCellMar>
        </w:tblPrEx>
        <w:trPr>
          <w:trHeight w:val="451" w:hRule="atLeast"/>
          <w:jc w:val="center"/>
        </w:trPr>
        <w:tc>
          <w:tcPr>
            <w:tcW w:w="1336" w:type="dxa"/>
            <w:tcBorders>
              <w:top w:val="nil"/>
              <w:left w:val="nil"/>
              <w:bottom w:val="nil"/>
              <w:right w:val="nil"/>
            </w:tcBorders>
            <w:vAlign w:val="center"/>
          </w:tcPr>
          <w:p>
            <w:pPr>
              <w:widowControl/>
              <w:spacing w:line="410" w:lineRule="exact"/>
              <w:jc w:val="center"/>
              <w:rPr>
                <w:rFonts w:ascii="宋体" w:hAnsi="宋体" w:cs="宋体"/>
                <w:b/>
                <w:bCs/>
                <w:kern w:val="0"/>
                <w:szCs w:val="21"/>
              </w:rPr>
            </w:pPr>
            <w:r>
              <w:rPr>
                <w:rFonts w:hint="eastAsia" w:ascii="宋体" w:hAnsi="宋体" w:cs="宋体"/>
                <w:b/>
                <w:bCs/>
                <w:kern w:val="0"/>
                <w:szCs w:val="21"/>
              </w:rPr>
              <w:t>支付标准</w:t>
            </w:r>
          </w:p>
        </w:tc>
        <w:tc>
          <w:tcPr>
            <w:tcW w:w="1336" w:type="dxa"/>
            <w:tcBorders>
              <w:top w:val="nil"/>
              <w:left w:val="nil"/>
              <w:bottom w:val="nil"/>
              <w:right w:val="nil"/>
            </w:tcBorders>
            <w:vAlign w:val="center"/>
          </w:tcPr>
          <w:p>
            <w:pPr>
              <w:widowControl/>
              <w:spacing w:line="410" w:lineRule="exact"/>
              <w:jc w:val="center"/>
              <w:rPr>
                <w:rFonts w:ascii="宋体" w:hAnsi="宋体" w:cs="宋体"/>
                <w:b/>
                <w:bCs/>
                <w:kern w:val="0"/>
                <w:szCs w:val="21"/>
              </w:rPr>
            </w:pPr>
            <w:r>
              <w:rPr>
                <w:rFonts w:hint="eastAsia" w:ascii="宋体" w:hAnsi="宋体" w:cs="宋体"/>
                <w:b/>
                <w:bCs/>
                <w:kern w:val="0"/>
                <w:szCs w:val="21"/>
              </w:rPr>
              <w:t>新农合支付</w:t>
            </w:r>
          </w:p>
        </w:tc>
        <w:tc>
          <w:tcPr>
            <w:tcW w:w="1203" w:type="dxa"/>
            <w:tcBorders>
              <w:top w:val="nil"/>
              <w:left w:val="nil"/>
              <w:bottom w:val="nil"/>
              <w:right w:val="nil"/>
            </w:tcBorders>
            <w:vAlign w:val="center"/>
          </w:tcPr>
          <w:p>
            <w:pPr>
              <w:widowControl/>
              <w:spacing w:line="410" w:lineRule="exact"/>
              <w:jc w:val="center"/>
              <w:rPr>
                <w:rFonts w:ascii="宋体" w:hAnsi="宋体" w:cs="宋体"/>
                <w:b/>
                <w:bCs/>
                <w:kern w:val="0"/>
                <w:szCs w:val="21"/>
              </w:rPr>
            </w:pPr>
            <w:r>
              <w:rPr>
                <w:rFonts w:hint="eastAsia" w:ascii="宋体" w:hAnsi="宋体" w:cs="宋体"/>
                <w:b/>
                <w:bCs/>
                <w:kern w:val="0"/>
                <w:szCs w:val="21"/>
              </w:rPr>
              <w:t>支付标准</w:t>
            </w:r>
          </w:p>
        </w:tc>
        <w:tc>
          <w:tcPr>
            <w:tcW w:w="1203" w:type="dxa"/>
            <w:tcBorders>
              <w:top w:val="nil"/>
              <w:left w:val="nil"/>
              <w:bottom w:val="nil"/>
              <w:right w:val="nil"/>
            </w:tcBorders>
            <w:vAlign w:val="center"/>
          </w:tcPr>
          <w:p>
            <w:pPr>
              <w:widowControl/>
              <w:spacing w:line="410" w:lineRule="exact"/>
              <w:jc w:val="center"/>
              <w:rPr>
                <w:rFonts w:ascii="宋体" w:hAnsi="宋体" w:cs="宋体"/>
                <w:b/>
                <w:bCs/>
                <w:kern w:val="0"/>
                <w:szCs w:val="21"/>
              </w:rPr>
            </w:pPr>
            <w:r>
              <w:rPr>
                <w:rFonts w:hint="eastAsia" w:ascii="宋体" w:hAnsi="宋体" w:cs="宋体"/>
                <w:b/>
                <w:bCs/>
                <w:kern w:val="0"/>
                <w:szCs w:val="21"/>
              </w:rPr>
              <w:t>新农合支付</w:t>
            </w:r>
          </w:p>
        </w:tc>
        <w:tc>
          <w:tcPr>
            <w:tcW w:w="1203" w:type="dxa"/>
            <w:tcBorders>
              <w:top w:val="nil"/>
              <w:left w:val="nil"/>
              <w:bottom w:val="nil"/>
              <w:right w:val="nil"/>
            </w:tcBorders>
            <w:vAlign w:val="center"/>
          </w:tcPr>
          <w:p>
            <w:pPr>
              <w:widowControl/>
              <w:spacing w:line="410" w:lineRule="exact"/>
              <w:jc w:val="center"/>
              <w:rPr>
                <w:rFonts w:ascii="宋体" w:hAnsi="宋体" w:cs="宋体"/>
                <w:b/>
                <w:bCs/>
                <w:kern w:val="0"/>
                <w:szCs w:val="21"/>
              </w:rPr>
            </w:pPr>
            <w:r>
              <w:rPr>
                <w:rFonts w:hint="eastAsia" w:ascii="宋体" w:hAnsi="宋体" w:cs="宋体"/>
                <w:b/>
                <w:bCs/>
                <w:kern w:val="0"/>
                <w:szCs w:val="21"/>
              </w:rPr>
              <w:t>支付标准</w:t>
            </w:r>
          </w:p>
        </w:tc>
        <w:tc>
          <w:tcPr>
            <w:tcW w:w="1203" w:type="dxa"/>
            <w:tcBorders>
              <w:top w:val="nil"/>
              <w:left w:val="nil"/>
              <w:bottom w:val="nil"/>
              <w:right w:val="nil"/>
            </w:tcBorders>
            <w:vAlign w:val="center"/>
          </w:tcPr>
          <w:p>
            <w:pPr>
              <w:widowControl/>
              <w:spacing w:line="410" w:lineRule="exact"/>
              <w:jc w:val="center"/>
              <w:rPr>
                <w:rFonts w:ascii="宋体" w:hAnsi="宋体" w:cs="宋体"/>
                <w:b/>
                <w:bCs/>
                <w:kern w:val="0"/>
                <w:szCs w:val="21"/>
              </w:rPr>
            </w:pPr>
            <w:r>
              <w:rPr>
                <w:rFonts w:hint="eastAsia" w:ascii="宋体" w:hAnsi="宋体" w:cs="宋体"/>
                <w:b/>
                <w:bCs/>
                <w:kern w:val="0"/>
                <w:szCs w:val="21"/>
              </w:rPr>
              <w:t>新农合支付</w:t>
            </w:r>
          </w:p>
        </w:tc>
      </w:tr>
      <w:tr>
        <w:tblPrEx>
          <w:tblLayout w:type="fixed"/>
          <w:tblCellMar>
            <w:top w:w="0" w:type="dxa"/>
            <w:left w:w="28" w:type="dxa"/>
            <w:bottom w:w="0" w:type="dxa"/>
            <w:right w:w="28" w:type="dxa"/>
          </w:tblCellMar>
        </w:tblPrEx>
        <w:trPr>
          <w:trHeight w:val="451" w:hRule="atLeast"/>
          <w:jc w:val="center"/>
        </w:trPr>
        <w:tc>
          <w:tcPr>
            <w:tcW w:w="1336" w:type="dxa"/>
            <w:tcBorders>
              <w:top w:val="nil"/>
              <w:left w:val="nil"/>
              <w:bottom w:val="single" w:color="auto" w:sz="4" w:space="0"/>
              <w:right w:val="nil"/>
            </w:tcBorders>
            <w:vAlign w:val="center"/>
          </w:tcPr>
          <w:p>
            <w:pPr>
              <w:widowControl/>
              <w:spacing w:line="410" w:lineRule="exact"/>
              <w:jc w:val="center"/>
              <w:rPr>
                <w:rFonts w:ascii="宋体" w:hAnsi="宋体"/>
                <w:bCs/>
                <w:kern w:val="0"/>
                <w:szCs w:val="21"/>
              </w:rPr>
            </w:pPr>
            <w:r>
              <w:rPr>
                <w:rFonts w:hint="eastAsia" w:ascii="宋体" w:hAnsi="宋体"/>
                <w:bCs/>
                <w:kern w:val="0"/>
                <w:szCs w:val="21"/>
              </w:rPr>
              <w:t>0.50</w:t>
            </w:r>
          </w:p>
        </w:tc>
        <w:tc>
          <w:tcPr>
            <w:tcW w:w="1336" w:type="dxa"/>
            <w:tcBorders>
              <w:top w:val="nil"/>
              <w:left w:val="nil"/>
              <w:bottom w:val="single" w:color="auto" w:sz="4" w:space="0"/>
              <w:right w:val="nil"/>
            </w:tcBorders>
            <w:vAlign w:val="center"/>
          </w:tcPr>
          <w:p>
            <w:pPr>
              <w:widowControl/>
              <w:spacing w:line="410" w:lineRule="exact"/>
              <w:jc w:val="center"/>
              <w:rPr>
                <w:rFonts w:ascii="宋体" w:hAnsi="宋体"/>
                <w:bCs/>
                <w:kern w:val="0"/>
                <w:szCs w:val="21"/>
              </w:rPr>
            </w:pPr>
            <w:r>
              <w:rPr>
                <w:rFonts w:hint="eastAsia" w:ascii="宋体" w:hAnsi="宋体"/>
                <w:bCs/>
                <w:kern w:val="0"/>
                <w:szCs w:val="21"/>
              </w:rPr>
              <w:t>0.35</w:t>
            </w:r>
          </w:p>
        </w:tc>
        <w:tc>
          <w:tcPr>
            <w:tcW w:w="1203" w:type="dxa"/>
            <w:tcBorders>
              <w:top w:val="nil"/>
              <w:left w:val="nil"/>
              <w:bottom w:val="single" w:color="auto" w:sz="4" w:space="0"/>
              <w:right w:val="nil"/>
            </w:tcBorders>
            <w:vAlign w:val="center"/>
          </w:tcPr>
          <w:p>
            <w:pPr>
              <w:widowControl/>
              <w:spacing w:line="410" w:lineRule="exact"/>
              <w:jc w:val="center"/>
              <w:rPr>
                <w:rFonts w:ascii="宋体" w:hAnsi="宋体"/>
                <w:bCs/>
                <w:kern w:val="0"/>
                <w:szCs w:val="21"/>
              </w:rPr>
            </w:pPr>
            <w:r>
              <w:rPr>
                <w:rFonts w:hint="eastAsia" w:ascii="宋体" w:hAnsi="宋体"/>
                <w:bCs/>
                <w:kern w:val="0"/>
                <w:szCs w:val="21"/>
              </w:rPr>
              <w:t>0.48</w:t>
            </w:r>
          </w:p>
        </w:tc>
        <w:tc>
          <w:tcPr>
            <w:tcW w:w="1203" w:type="dxa"/>
            <w:tcBorders>
              <w:top w:val="nil"/>
              <w:left w:val="nil"/>
              <w:bottom w:val="single" w:color="auto" w:sz="4" w:space="0"/>
              <w:right w:val="nil"/>
            </w:tcBorders>
            <w:vAlign w:val="center"/>
          </w:tcPr>
          <w:p>
            <w:pPr>
              <w:widowControl/>
              <w:spacing w:line="410" w:lineRule="exact"/>
              <w:jc w:val="center"/>
              <w:rPr>
                <w:rFonts w:ascii="宋体" w:hAnsi="宋体"/>
                <w:bCs/>
                <w:kern w:val="0"/>
                <w:szCs w:val="21"/>
              </w:rPr>
            </w:pPr>
            <w:r>
              <w:rPr>
                <w:rFonts w:hint="eastAsia" w:ascii="宋体" w:hAnsi="宋体"/>
                <w:bCs/>
                <w:kern w:val="0"/>
                <w:szCs w:val="21"/>
              </w:rPr>
              <w:t>0.34</w:t>
            </w:r>
          </w:p>
        </w:tc>
        <w:tc>
          <w:tcPr>
            <w:tcW w:w="1203" w:type="dxa"/>
            <w:tcBorders>
              <w:top w:val="nil"/>
              <w:left w:val="nil"/>
              <w:bottom w:val="single" w:color="auto" w:sz="4" w:space="0"/>
              <w:right w:val="nil"/>
            </w:tcBorders>
            <w:vAlign w:val="center"/>
          </w:tcPr>
          <w:p>
            <w:pPr>
              <w:widowControl/>
              <w:spacing w:line="410" w:lineRule="exact"/>
              <w:jc w:val="center"/>
              <w:rPr>
                <w:rFonts w:ascii="宋体" w:hAnsi="宋体"/>
                <w:bCs/>
                <w:kern w:val="0"/>
                <w:szCs w:val="21"/>
              </w:rPr>
            </w:pPr>
            <w:r>
              <w:rPr>
                <w:rFonts w:hint="eastAsia" w:ascii="宋体" w:hAnsi="宋体"/>
                <w:bCs/>
                <w:kern w:val="0"/>
                <w:szCs w:val="21"/>
              </w:rPr>
              <w:t>0.45</w:t>
            </w:r>
          </w:p>
        </w:tc>
        <w:tc>
          <w:tcPr>
            <w:tcW w:w="1203" w:type="dxa"/>
            <w:tcBorders>
              <w:top w:val="nil"/>
              <w:left w:val="nil"/>
              <w:bottom w:val="single" w:color="auto" w:sz="4" w:space="0"/>
              <w:right w:val="nil"/>
            </w:tcBorders>
            <w:vAlign w:val="center"/>
          </w:tcPr>
          <w:p>
            <w:pPr>
              <w:widowControl/>
              <w:spacing w:line="410" w:lineRule="exact"/>
              <w:jc w:val="center"/>
              <w:rPr>
                <w:rFonts w:ascii="宋体" w:hAnsi="宋体"/>
                <w:bCs/>
                <w:kern w:val="0"/>
                <w:szCs w:val="21"/>
              </w:rPr>
            </w:pPr>
            <w:r>
              <w:rPr>
                <w:rFonts w:hint="eastAsia" w:ascii="宋体" w:hAnsi="宋体"/>
                <w:bCs/>
                <w:kern w:val="0"/>
                <w:szCs w:val="21"/>
              </w:rPr>
              <w:t>0.34</w:t>
            </w:r>
          </w:p>
        </w:tc>
      </w:tr>
    </w:tbl>
    <w:p>
      <w:pPr>
        <w:pStyle w:val="5"/>
        <w:spacing w:line="410" w:lineRule="exact"/>
        <w:ind w:firstLine="0" w:firstLineChars="0"/>
        <w:jc w:val="center"/>
        <w:rPr>
          <w:rFonts w:hint="eastAsia" w:ascii="宋体" w:hAnsi="宋体"/>
          <w:szCs w:val="21"/>
        </w:rPr>
      </w:pPr>
    </w:p>
    <w:p>
      <w:pPr>
        <w:pStyle w:val="5"/>
        <w:spacing w:line="410" w:lineRule="exact"/>
        <w:ind w:firstLine="0" w:firstLineChars="0"/>
        <w:jc w:val="center"/>
        <w:rPr>
          <w:rFonts w:hint="eastAsia" w:ascii="宋体" w:hAnsi="宋体"/>
          <w:sz w:val="24"/>
        </w:rPr>
      </w:pPr>
      <w:r>
        <w:rPr>
          <w:rFonts w:hint="eastAsia" w:ascii="宋体" w:hAnsi="宋体"/>
          <w:sz w:val="24"/>
        </w:rPr>
        <w:t>表3-2   腭裂住院治疗费用的定额支付标准</w:t>
      </w:r>
    </w:p>
    <w:tbl>
      <w:tblPr>
        <w:tblStyle w:val="4"/>
        <w:tblW w:w="7484" w:type="dxa"/>
        <w:jc w:val="center"/>
        <w:tblInd w:w="0" w:type="dxa"/>
        <w:tblLayout w:type="fixed"/>
        <w:tblCellMar>
          <w:top w:w="0" w:type="dxa"/>
          <w:left w:w="28" w:type="dxa"/>
          <w:bottom w:w="0" w:type="dxa"/>
          <w:right w:w="28" w:type="dxa"/>
        </w:tblCellMar>
      </w:tblPr>
      <w:tblGrid>
        <w:gridCol w:w="1336"/>
        <w:gridCol w:w="1336"/>
        <w:gridCol w:w="1203"/>
        <w:gridCol w:w="1203"/>
        <w:gridCol w:w="1203"/>
        <w:gridCol w:w="1203"/>
      </w:tblGrid>
      <w:tr>
        <w:tblPrEx>
          <w:tblLayout w:type="fixed"/>
          <w:tblCellMar>
            <w:top w:w="0" w:type="dxa"/>
            <w:left w:w="28" w:type="dxa"/>
            <w:bottom w:w="0" w:type="dxa"/>
            <w:right w:w="28" w:type="dxa"/>
          </w:tblCellMar>
        </w:tblPrEx>
        <w:trPr>
          <w:trHeight w:val="450" w:hRule="atLeast"/>
          <w:jc w:val="center"/>
        </w:trPr>
        <w:tc>
          <w:tcPr>
            <w:tcW w:w="2672" w:type="dxa"/>
            <w:gridSpan w:val="2"/>
            <w:tcBorders>
              <w:top w:val="single" w:color="auto" w:sz="4" w:space="0"/>
              <w:left w:val="nil"/>
              <w:bottom w:val="single" w:color="auto" w:sz="4" w:space="0"/>
              <w:right w:val="nil"/>
            </w:tcBorders>
            <w:vAlign w:val="center"/>
          </w:tcPr>
          <w:p>
            <w:pPr>
              <w:widowControl/>
              <w:spacing w:line="410" w:lineRule="exact"/>
              <w:rPr>
                <w:rFonts w:ascii="宋体" w:hAnsi="宋体" w:cs="宋体"/>
                <w:b/>
                <w:bCs/>
                <w:kern w:val="0"/>
                <w:szCs w:val="21"/>
              </w:rPr>
            </w:pPr>
            <w:r>
              <w:rPr>
                <w:rFonts w:hint="eastAsia" w:ascii="宋体" w:hAnsi="宋体" w:cs="宋体"/>
                <w:b/>
                <w:bCs/>
                <w:kern w:val="0"/>
                <w:szCs w:val="21"/>
              </w:rPr>
              <w:t>省级定点救治医院（万元）</w:t>
            </w:r>
          </w:p>
        </w:tc>
        <w:tc>
          <w:tcPr>
            <w:tcW w:w="2406" w:type="dxa"/>
            <w:gridSpan w:val="2"/>
            <w:tcBorders>
              <w:top w:val="single" w:color="auto" w:sz="4" w:space="0"/>
              <w:left w:val="nil"/>
              <w:bottom w:val="single" w:color="auto" w:sz="4" w:space="0"/>
              <w:right w:val="nil"/>
            </w:tcBorders>
            <w:vAlign w:val="center"/>
          </w:tcPr>
          <w:p>
            <w:pPr>
              <w:widowControl/>
              <w:spacing w:line="410" w:lineRule="exact"/>
              <w:jc w:val="center"/>
              <w:rPr>
                <w:rFonts w:ascii="宋体" w:hAnsi="宋体" w:cs="宋体"/>
                <w:b/>
                <w:bCs/>
                <w:kern w:val="0"/>
                <w:szCs w:val="21"/>
              </w:rPr>
            </w:pPr>
            <w:r>
              <w:rPr>
                <w:rFonts w:hint="eastAsia" w:ascii="宋体" w:hAnsi="宋体" w:cs="宋体"/>
                <w:b/>
                <w:bCs/>
                <w:kern w:val="0"/>
                <w:szCs w:val="21"/>
              </w:rPr>
              <w:t>三级医院（万元）</w:t>
            </w:r>
          </w:p>
        </w:tc>
        <w:tc>
          <w:tcPr>
            <w:tcW w:w="2406" w:type="dxa"/>
            <w:gridSpan w:val="2"/>
            <w:tcBorders>
              <w:top w:val="single" w:color="auto" w:sz="4" w:space="0"/>
              <w:left w:val="nil"/>
              <w:bottom w:val="single" w:color="auto" w:sz="4" w:space="0"/>
              <w:right w:val="nil"/>
            </w:tcBorders>
            <w:vAlign w:val="center"/>
          </w:tcPr>
          <w:p>
            <w:pPr>
              <w:widowControl/>
              <w:spacing w:line="410" w:lineRule="exact"/>
              <w:jc w:val="center"/>
              <w:rPr>
                <w:rFonts w:ascii="宋体" w:hAnsi="宋体" w:cs="宋体"/>
                <w:b/>
                <w:bCs/>
                <w:kern w:val="0"/>
                <w:szCs w:val="21"/>
              </w:rPr>
            </w:pPr>
            <w:r>
              <w:rPr>
                <w:rFonts w:hint="eastAsia" w:ascii="宋体" w:hAnsi="宋体" w:cs="宋体"/>
                <w:b/>
                <w:bCs/>
                <w:kern w:val="0"/>
                <w:szCs w:val="21"/>
              </w:rPr>
              <w:t xml:space="preserve"> 二级医院（万元）</w:t>
            </w:r>
          </w:p>
        </w:tc>
      </w:tr>
      <w:tr>
        <w:tblPrEx>
          <w:tblLayout w:type="fixed"/>
          <w:tblCellMar>
            <w:top w:w="0" w:type="dxa"/>
            <w:left w:w="28" w:type="dxa"/>
            <w:bottom w:w="0" w:type="dxa"/>
            <w:right w:w="28" w:type="dxa"/>
          </w:tblCellMar>
        </w:tblPrEx>
        <w:trPr>
          <w:trHeight w:val="451" w:hRule="atLeast"/>
          <w:jc w:val="center"/>
        </w:trPr>
        <w:tc>
          <w:tcPr>
            <w:tcW w:w="1336" w:type="dxa"/>
            <w:tcBorders>
              <w:top w:val="nil"/>
              <w:left w:val="nil"/>
              <w:bottom w:val="nil"/>
              <w:right w:val="nil"/>
            </w:tcBorders>
            <w:vAlign w:val="center"/>
          </w:tcPr>
          <w:p>
            <w:pPr>
              <w:widowControl/>
              <w:spacing w:line="410" w:lineRule="exact"/>
              <w:jc w:val="center"/>
              <w:rPr>
                <w:rFonts w:ascii="宋体" w:hAnsi="宋体" w:cs="宋体"/>
                <w:b/>
                <w:bCs/>
                <w:kern w:val="0"/>
                <w:szCs w:val="21"/>
              </w:rPr>
            </w:pPr>
            <w:r>
              <w:rPr>
                <w:rFonts w:hint="eastAsia" w:ascii="宋体" w:hAnsi="宋体" w:cs="宋体"/>
                <w:b/>
                <w:bCs/>
                <w:kern w:val="0"/>
                <w:szCs w:val="21"/>
              </w:rPr>
              <w:t>支付标准</w:t>
            </w:r>
          </w:p>
        </w:tc>
        <w:tc>
          <w:tcPr>
            <w:tcW w:w="1336" w:type="dxa"/>
            <w:tcBorders>
              <w:top w:val="nil"/>
              <w:left w:val="nil"/>
              <w:bottom w:val="nil"/>
              <w:right w:val="nil"/>
            </w:tcBorders>
            <w:vAlign w:val="center"/>
          </w:tcPr>
          <w:p>
            <w:pPr>
              <w:widowControl/>
              <w:spacing w:line="410" w:lineRule="exact"/>
              <w:jc w:val="center"/>
              <w:rPr>
                <w:rFonts w:ascii="宋体" w:hAnsi="宋体" w:cs="宋体"/>
                <w:b/>
                <w:bCs/>
                <w:kern w:val="0"/>
                <w:szCs w:val="21"/>
              </w:rPr>
            </w:pPr>
            <w:r>
              <w:rPr>
                <w:rFonts w:hint="eastAsia" w:ascii="宋体" w:hAnsi="宋体" w:cs="宋体"/>
                <w:b/>
                <w:bCs/>
                <w:kern w:val="0"/>
                <w:szCs w:val="21"/>
              </w:rPr>
              <w:t>新农合支付</w:t>
            </w:r>
          </w:p>
        </w:tc>
        <w:tc>
          <w:tcPr>
            <w:tcW w:w="1203" w:type="dxa"/>
            <w:tcBorders>
              <w:top w:val="nil"/>
              <w:left w:val="nil"/>
              <w:bottom w:val="nil"/>
              <w:right w:val="nil"/>
            </w:tcBorders>
            <w:vAlign w:val="center"/>
          </w:tcPr>
          <w:p>
            <w:pPr>
              <w:widowControl/>
              <w:spacing w:line="410" w:lineRule="exact"/>
              <w:jc w:val="center"/>
              <w:rPr>
                <w:rFonts w:ascii="宋体" w:hAnsi="宋体" w:cs="宋体"/>
                <w:b/>
                <w:bCs/>
                <w:kern w:val="0"/>
                <w:szCs w:val="21"/>
              </w:rPr>
            </w:pPr>
            <w:r>
              <w:rPr>
                <w:rFonts w:hint="eastAsia" w:ascii="宋体" w:hAnsi="宋体" w:cs="宋体"/>
                <w:b/>
                <w:bCs/>
                <w:kern w:val="0"/>
                <w:szCs w:val="21"/>
              </w:rPr>
              <w:t>支付标准</w:t>
            </w:r>
          </w:p>
        </w:tc>
        <w:tc>
          <w:tcPr>
            <w:tcW w:w="1203" w:type="dxa"/>
            <w:tcBorders>
              <w:top w:val="nil"/>
              <w:left w:val="nil"/>
              <w:bottom w:val="nil"/>
              <w:right w:val="nil"/>
            </w:tcBorders>
            <w:vAlign w:val="center"/>
          </w:tcPr>
          <w:p>
            <w:pPr>
              <w:widowControl/>
              <w:spacing w:line="410" w:lineRule="exact"/>
              <w:jc w:val="center"/>
              <w:rPr>
                <w:rFonts w:ascii="宋体" w:hAnsi="宋体" w:cs="宋体"/>
                <w:b/>
                <w:bCs/>
                <w:kern w:val="0"/>
                <w:szCs w:val="21"/>
              </w:rPr>
            </w:pPr>
            <w:r>
              <w:rPr>
                <w:rFonts w:hint="eastAsia" w:ascii="宋体" w:hAnsi="宋体" w:cs="宋体"/>
                <w:b/>
                <w:bCs/>
                <w:kern w:val="0"/>
                <w:szCs w:val="21"/>
              </w:rPr>
              <w:t>新农合支付</w:t>
            </w:r>
          </w:p>
        </w:tc>
        <w:tc>
          <w:tcPr>
            <w:tcW w:w="1203" w:type="dxa"/>
            <w:tcBorders>
              <w:top w:val="nil"/>
              <w:left w:val="nil"/>
              <w:bottom w:val="nil"/>
              <w:right w:val="nil"/>
            </w:tcBorders>
            <w:vAlign w:val="center"/>
          </w:tcPr>
          <w:p>
            <w:pPr>
              <w:widowControl/>
              <w:spacing w:line="410" w:lineRule="exact"/>
              <w:jc w:val="center"/>
              <w:rPr>
                <w:rFonts w:ascii="宋体" w:hAnsi="宋体" w:cs="宋体"/>
                <w:b/>
                <w:bCs/>
                <w:kern w:val="0"/>
                <w:szCs w:val="21"/>
              </w:rPr>
            </w:pPr>
            <w:r>
              <w:rPr>
                <w:rFonts w:hint="eastAsia" w:ascii="宋体" w:hAnsi="宋体" w:cs="宋体"/>
                <w:b/>
                <w:bCs/>
                <w:kern w:val="0"/>
                <w:szCs w:val="21"/>
              </w:rPr>
              <w:t>支付标准</w:t>
            </w:r>
          </w:p>
        </w:tc>
        <w:tc>
          <w:tcPr>
            <w:tcW w:w="1203" w:type="dxa"/>
            <w:tcBorders>
              <w:top w:val="nil"/>
              <w:left w:val="nil"/>
              <w:bottom w:val="nil"/>
              <w:right w:val="nil"/>
            </w:tcBorders>
            <w:vAlign w:val="center"/>
          </w:tcPr>
          <w:p>
            <w:pPr>
              <w:widowControl/>
              <w:spacing w:line="410" w:lineRule="exact"/>
              <w:jc w:val="center"/>
              <w:rPr>
                <w:rFonts w:ascii="宋体" w:hAnsi="宋体" w:cs="宋体"/>
                <w:b/>
                <w:bCs/>
                <w:kern w:val="0"/>
                <w:szCs w:val="21"/>
              </w:rPr>
            </w:pPr>
            <w:r>
              <w:rPr>
                <w:rFonts w:hint="eastAsia" w:ascii="宋体" w:hAnsi="宋体" w:cs="宋体"/>
                <w:b/>
                <w:bCs/>
                <w:kern w:val="0"/>
                <w:szCs w:val="21"/>
              </w:rPr>
              <w:t>新农合支付</w:t>
            </w:r>
          </w:p>
        </w:tc>
      </w:tr>
      <w:tr>
        <w:tblPrEx>
          <w:tblLayout w:type="fixed"/>
          <w:tblCellMar>
            <w:top w:w="0" w:type="dxa"/>
            <w:left w:w="28" w:type="dxa"/>
            <w:bottom w:w="0" w:type="dxa"/>
            <w:right w:w="28" w:type="dxa"/>
          </w:tblCellMar>
        </w:tblPrEx>
        <w:trPr>
          <w:trHeight w:val="451" w:hRule="atLeast"/>
          <w:jc w:val="center"/>
        </w:trPr>
        <w:tc>
          <w:tcPr>
            <w:tcW w:w="1336" w:type="dxa"/>
            <w:tcBorders>
              <w:top w:val="nil"/>
              <w:left w:val="nil"/>
              <w:bottom w:val="single" w:color="auto" w:sz="4" w:space="0"/>
              <w:right w:val="nil"/>
            </w:tcBorders>
            <w:vAlign w:val="center"/>
          </w:tcPr>
          <w:p>
            <w:pPr>
              <w:widowControl/>
              <w:spacing w:line="410" w:lineRule="exact"/>
              <w:jc w:val="center"/>
              <w:rPr>
                <w:rFonts w:ascii="宋体" w:hAnsi="宋体"/>
                <w:bCs/>
                <w:kern w:val="0"/>
                <w:szCs w:val="21"/>
              </w:rPr>
            </w:pPr>
            <w:r>
              <w:rPr>
                <w:rFonts w:hint="eastAsia" w:ascii="宋体" w:hAnsi="宋体"/>
                <w:bCs/>
                <w:kern w:val="0"/>
                <w:szCs w:val="21"/>
              </w:rPr>
              <w:t>0.62</w:t>
            </w:r>
          </w:p>
        </w:tc>
        <w:tc>
          <w:tcPr>
            <w:tcW w:w="1336" w:type="dxa"/>
            <w:tcBorders>
              <w:top w:val="nil"/>
              <w:left w:val="nil"/>
              <w:bottom w:val="single" w:color="auto" w:sz="4" w:space="0"/>
              <w:right w:val="nil"/>
            </w:tcBorders>
            <w:vAlign w:val="center"/>
          </w:tcPr>
          <w:p>
            <w:pPr>
              <w:widowControl/>
              <w:spacing w:line="410" w:lineRule="exact"/>
              <w:jc w:val="center"/>
              <w:rPr>
                <w:rFonts w:ascii="宋体" w:hAnsi="宋体"/>
                <w:bCs/>
                <w:kern w:val="0"/>
                <w:szCs w:val="21"/>
              </w:rPr>
            </w:pPr>
            <w:r>
              <w:rPr>
                <w:rFonts w:hint="eastAsia" w:ascii="宋体" w:hAnsi="宋体"/>
                <w:bCs/>
                <w:kern w:val="0"/>
                <w:szCs w:val="21"/>
              </w:rPr>
              <w:t>0.43</w:t>
            </w:r>
          </w:p>
        </w:tc>
        <w:tc>
          <w:tcPr>
            <w:tcW w:w="1203" w:type="dxa"/>
            <w:tcBorders>
              <w:top w:val="nil"/>
              <w:left w:val="nil"/>
              <w:bottom w:val="single" w:color="auto" w:sz="4" w:space="0"/>
              <w:right w:val="nil"/>
            </w:tcBorders>
            <w:vAlign w:val="center"/>
          </w:tcPr>
          <w:p>
            <w:pPr>
              <w:widowControl/>
              <w:spacing w:line="410" w:lineRule="exact"/>
              <w:jc w:val="center"/>
              <w:rPr>
                <w:rFonts w:ascii="宋体" w:hAnsi="宋体"/>
                <w:bCs/>
                <w:kern w:val="0"/>
                <w:szCs w:val="21"/>
              </w:rPr>
            </w:pPr>
            <w:r>
              <w:rPr>
                <w:rFonts w:hint="eastAsia" w:ascii="宋体" w:hAnsi="宋体"/>
                <w:bCs/>
                <w:kern w:val="0"/>
                <w:szCs w:val="21"/>
              </w:rPr>
              <w:t>0.60</w:t>
            </w:r>
          </w:p>
        </w:tc>
        <w:tc>
          <w:tcPr>
            <w:tcW w:w="1203" w:type="dxa"/>
            <w:tcBorders>
              <w:top w:val="nil"/>
              <w:left w:val="nil"/>
              <w:bottom w:val="single" w:color="auto" w:sz="4" w:space="0"/>
              <w:right w:val="nil"/>
            </w:tcBorders>
            <w:vAlign w:val="center"/>
          </w:tcPr>
          <w:p>
            <w:pPr>
              <w:widowControl/>
              <w:spacing w:line="410" w:lineRule="exact"/>
              <w:jc w:val="center"/>
              <w:rPr>
                <w:rFonts w:ascii="宋体" w:hAnsi="宋体"/>
                <w:bCs/>
                <w:kern w:val="0"/>
                <w:szCs w:val="21"/>
              </w:rPr>
            </w:pPr>
            <w:r>
              <w:rPr>
                <w:rFonts w:hint="eastAsia" w:ascii="宋体" w:hAnsi="宋体"/>
                <w:bCs/>
                <w:kern w:val="0"/>
                <w:szCs w:val="21"/>
              </w:rPr>
              <w:t>0.42</w:t>
            </w:r>
          </w:p>
        </w:tc>
        <w:tc>
          <w:tcPr>
            <w:tcW w:w="1203" w:type="dxa"/>
            <w:tcBorders>
              <w:top w:val="nil"/>
              <w:left w:val="nil"/>
              <w:bottom w:val="single" w:color="auto" w:sz="4" w:space="0"/>
              <w:right w:val="nil"/>
            </w:tcBorders>
            <w:vAlign w:val="center"/>
          </w:tcPr>
          <w:p>
            <w:pPr>
              <w:widowControl/>
              <w:spacing w:line="410" w:lineRule="exact"/>
              <w:jc w:val="center"/>
              <w:rPr>
                <w:rFonts w:ascii="宋体" w:hAnsi="宋体"/>
                <w:bCs/>
                <w:kern w:val="0"/>
                <w:szCs w:val="21"/>
              </w:rPr>
            </w:pPr>
            <w:r>
              <w:rPr>
                <w:rFonts w:hint="eastAsia" w:ascii="宋体" w:hAnsi="宋体"/>
                <w:bCs/>
                <w:kern w:val="0"/>
                <w:szCs w:val="21"/>
              </w:rPr>
              <w:t>0.56</w:t>
            </w:r>
          </w:p>
        </w:tc>
        <w:tc>
          <w:tcPr>
            <w:tcW w:w="1203" w:type="dxa"/>
            <w:tcBorders>
              <w:top w:val="nil"/>
              <w:left w:val="nil"/>
              <w:bottom w:val="single" w:color="auto" w:sz="4" w:space="0"/>
              <w:right w:val="nil"/>
            </w:tcBorders>
            <w:vAlign w:val="center"/>
          </w:tcPr>
          <w:p>
            <w:pPr>
              <w:widowControl/>
              <w:spacing w:line="410" w:lineRule="exact"/>
              <w:jc w:val="center"/>
              <w:rPr>
                <w:rFonts w:ascii="宋体" w:hAnsi="宋体"/>
                <w:bCs/>
                <w:kern w:val="0"/>
                <w:szCs w:val="21"/>
              </w:rPr>
            </w:pPr>
            <w:r>
              <w:rPr>
                <w:rFonts w:hint="eastAsia" w:ascii="宋体" w:hAnsi="宋体"/>
                <w:bCs/>
                <w:kern w:val="0"/>
                <w:szCs w:val="21"/>
              </w:rPr>
              <w:t>0.42</w:t>
            </w:r>
          </w:p>
        </w:tc>
      </w:tr>
    </w:tbl>
    <w:p>
      <w:pPr>
        <w:pStyle w:val="5"/>
        <w:adjustRightInd w:val="0"/>
        <w:snapToGrid w:val="0"/>
        <w:spacing w:line="430" w:lineRule="exact"/>
        <w:ind w:firstLine="480"/>
        <w:rPr>
          <w:rFonts w:hint="eastAsia" w:ascii="黑体" w:hAnsi="宋体" w:eastAsia="黑体"/>
          <w:snapToGrid w:val="0"/>
          <w:color w:val="000000"/>
          <w:kern w:val="0"/>
          <w:sz w:val="24"/>
        </w:rPr>
      </w:pPr>
      <w:r>
        <w:rPr>
          <w:rFonts w:hint="eastAsia" w:ascii="黑体" w:hAnsi="宋体" w:eastAsia="黑体"/>
          <w:snapToGrid w:val="0"/>
          <w:color w:val="000000"/>
          <w:kern w:val="0"/>
          <w:sz w:val="24"/>
        </w:rPr>
        <w:t>四、肺癌</w:t>
      </w:r>
    </w:p>
    <w:p>
      <w:pPr>
        <w:adjustRightInd w:val="0"/>
        <w:snapToGrid w:val="0"/>
        <w:spacing w:line="430" w:lineRule="exact"/>
        <w:ind w:firstLine="360" w:firstLineChars="150"/>
        <w:rPr>
          <w:rFonts w:hint="eastAsia" w:ascii="方正楷体简体" w:hAnsi="宋体" w:eastAsia="方正楷体简体"/>
          <w:snapToGrid w:val="0"/>
          <w:color w:val="000000"/>
          <w:kern w:val="0"/>
          <w:sz w:val="24"/>
        </w:rPr>
      </w:pPr>
      <w:r>
        <w:rPr>
          <w:rFonts w:hint="eastAsia" w:ascii="方正楷体简体" w:hAnsi="宋体" w:eastAsia="方正楷体简体"/>
          <w:snapToGrid w:val="0"/>
          <w:color w:val="000000"/>
          <w:kern w:val="0"/>
          <w:sz w:val="24"/>
        </w:rPr>
        <w:t>（一）适用对象。</w:t>
      </w:r>
    </w:p>
    <w:p>
      <w:pPr>
        <w:adjustRightInd w:val="0"/>
        <w:snapToGrid w:val="0"/>
        <w:spacing w:line="430" w:lineRule="exact"/>
        <w:ind w:firstLine="480" w:firstLineChars="200"/>
        <w:rPr>
          <w:rFonts w:hint="eastAsia" w:ascii="宋体" w:hAnsi="宋体"/>
          <w:snapToGrid w:val="0"/>
          <w:color w:val="000000"/>
          <w:kern w:val="0"/>
          <w:sz w:val="24"/>
        </w:rPr>
      </w:pPr>
      <w:r>
        <w:rPr>
          <w:rFonts w:hint="eastAsia" w:ascii="宋体" w:hAnsi="宋体"/>
          <w:snapToGrid w:val="0"/>
          <w:color w:val="000000"/>
          <w:kern w:val="0"/>
          <w:sz w:val="24"/>
        </w:rPr>
        <w:t>1.以原发性肺癌（ICD-10：C34/D02.2）为第一诊断的患者。</w:t>
      </w:r>
    </w:p>
    <w:p>
      <w:pPr>
        <w:adjustRightInd w:val="0"/>
        <w:snapToGrid w:val="0"/>
        <w:spacing w:line="430" w:lineRule="exact"/>
        <w:ind w:firstLine="480" w:firstLineChars="200"/>
        <w:rPr>
          <w:rFonts w:hint="eastAsia" w:ascii="宋体" w:hAnsi="宋体"/>
          <w:snapToGrid w:val="0"/>
          <w:color w:val="000000"/>
          <w:kern w:val="0"/>
          <w:sz w:val="24"/>
        </w:rPr>
      </w:pPr>
      <w:r>
        <w:rPr>
          <w:rFonts w:hint="eastAsia" w:ascii="宋体" w:hAnsi="宋体"/>
          <w:snapToGrid w:val="0"/>
          <w:color w:val="000000"/>
          <w:kern w:val="0"/>
          <w:sz w:val="24"/>
        </w:rPr>
        <w:t>2.临床分期（UICC 2009）为I期、</w:t>
      </w:r>
      <w:r>
        <w:rPr>
          <w:rFonts w:ascii="宋体" w:hAnsi="宋体"/>
          <w:snapToGrid w:val="0"/>
          <w:color w:val="000000"/>
          <w:kern w:val="0"/>
          <w:sz w:val="24"/>
        </w:rPr>
        <w:fldChar w:fldCharType="begin"/>
      </w:r>
      <w:r>
        <w:rPr>
          <w:rFonts w:ascii="宋体" w:hAnsi="宋体"/>
          <w:snapToGrid w:val="0"/>
          <w:color w:val="000000"/>
          <w:kern w:val="0"/>
          <w:sz w:val="24"/>
        </w:rPr>
        <w:instrText xml:space="preserve"> </w:instrText>
      </w:r>
      <w:r>
        <w:rPr>
          <w:rFonts w:hint="eastAsia" w:ascii="宋体" w:hAnsi="宋体"/>
          <w:snapToGrid w:val="0"/>
          <w:color w:val="000000"/>
          <w:kern w:val="0"/>
          <w:sz w:val="24"/>
        </w:rPr>
        <w:instrText xml:space="preserve">= 2 \* ROMAN</w:instrText>
      </w:r>
      <w:r>
        <w:rPr>
          <w:rFonts w:ascii="宋体" w:hAnsi="宋体"/>
          <w:snapToGrid w:val="0"/>
          <w:color w:val="000000"/>
          <w:kern w:val="0"/>
          <w:sz w:val="24"/>
        </w:rPr>
        <w:instrText xml:space="preserve"> </w:instrText>
      </w:r>
      <w:r>
        <w:rPr>
          <w:rFonts w:ascii="宋体" w:hAnsi="宋体"/>
          <w:snapToGrid w:val="0"/>
          <w:color w:val="000000"/>
          <w:kern w:val="0"/>
          <w:sz w:val="24"/>
        </w:rPr>
        <w:fldChar w:fldCharType="separate"/>
      </w:r>
      <w:r>
        <w:rPr>
          <w:rFonts w:ascii="宋体" w:hAnsi="宋体"/>
          <w:snapToGrid w:val="0"/>
          <w:color w:val="000000"/>
          <w:kern w:val="0"/>
          <w:sz w:val="24"/>
        </w:rPr>
        <w:t>II</w:t>
      </w:r>
      <w:r>
        <w:rPr>
          <w:rFonts w:ascii="宋体" w:hAnsi="宋体"/>
          <w:snapToGrid w:val="0"/>
          <w:color w:val="000000"/>
          <w:kern w:val="0"/>
          <w:sz w:val="24"/>
        </w:rPr>
        <w:fldChar w:fldCharType="end"/>
      </w:r>
      <w:r>
        <w:rPr>
          <w:rFonts w:hint="eastAsia" w:ascii="宋体" w:hAnsi="宋体"/>
          <w:snapToGrid w:val="0"/>
          <w:color w:val="000000"/>
          <w:kern w:val="0"/>
          <w:sz w:val="24"/>
        </w:rPr>
        <w:t>期、和可完全性切除的IIIA期非小细胞肺癌。</w:t>
      </w:r>
    </w:p>
    <w:p>
      <w:pPr>
        <w:adjustRightInd w:val="0"/>
        <w:snapToGrid w:val="0"/>
        <w:spacing w:line="430" w:lineRule="exact"/>
        <w:ind w:firstLine="480" w:firstLineChars="200"/>
        <w:rPr>
          <w:rFonts w:hint="eastAsia" w:ascii="宋体" w:hAnsi="宋体"/>
          <w:snapToGrid w:val="0"/>
          <w:color w:val="000000"/>
          <w:kern w:val="0"/>
          <w:sz w:val="24"/>
        </w:rPr>
      </w:pPr>
      <w:r>
        <w:rPr>
          <w:rFonts w:hint="eastAsia" w:ascii="宋体" w:hAnsi="宋体"/>
          <w:snapToGrid w:val="0"/>
          <w:color w:val="000000"/>
          <w:kern w:val="0"/>
          <w:sz w:val="24"/>
        </w:rPr>
        <w:t>3.临床分期（UICC 2009）为T</w:t>
      </w:r>
      <w:r>
        <w:rPr>
          <w:rFonts w:hint="eastAsia" w:ascii="宋体" w:hAnsi="宋体"/>
          <w:snapToGrid w:val="0"/>
          <w:color w:val="000000"/>
          <w:kern w:val="0"/>
          <w:sz w:val="24"/>
          <w:vertAlign w:val="subscript"/>
        </w:rPr>
        <w:t>1-2</w:t>
      </w:r>
      <w:r>
        <w:rPr>
          <w:rFonts w:hint="eastAsia" w:ascii="宋体" w:hAnsi="宋体"/>
          <w:snapToGrid w:val="0"/>
          <w:color w:val="000000"/>
          <w:kern w:val="0"/>
          <w:sz w:val="24"/>
        </w:rPr>
        <w:t>N</w:t>
      </w:r>
      <w:r>
        <w:rPr>
          <w:rFonts w:hint="eastAsia" w:ascii="宋体" w:hAnsi="宋体"/>
          <w:snapToGrid w:val="0"/>
          <w:color w:val="000000"/>
          <w:kern w:val="0"/>
          <w:sz w:val="24"/>
          <w:vertAlign w:val="subscript"/>
        </w:rPr>
        <w:t>0</w:t>
      </w:r>
      <w:r>
        <w:rPr>
          <w:rFonts w:hint="eastAsia" w:ascii="宋体" w:hAnsi="宋体"/>
          <w:snapToGrid w:val="0"/>
          <w:color w:val="000000"/>
          <w:kern w:val="0"/>
          <w:sz w:val="24"/>
        </w:rPr>
        <w:t>M</w:t>
      </w:r>
      <w:r>
        <w:rPr>
          <w:rFonts w:hint="eastAsia" w:ascii="宋体" w:hAnsi="宋体"/>
          <w:snapToGrid w:val="0"/>
          <w:color w:val="000000"/>
          <w:kern w:val="0"/>
          <w:sz w:val="24"/>
          <w:vertAlign w:val="subscript"/>
        </w:rPr>
        <w:t>0</w:t>
      </w:r>
      <w:r>
        <w:rPr>
          <w:rFonts w:hint="eastAsia" w:ascii="宋体" w:hAnsi="宋体"/>
          <w:snapToGrid w:val="0"/>
          <w:color w:val="000000"/>
          <w:kern w:val="0"/>
          <w:sz w:val="24"/>
        </w:rPr>
        <w:t>的小细胞肺癌。</w:t>
      </w:r>
    </w:p>
    <w:p>
      <w:pPr>
        <w:adjustRightInd w:val="0"/>
        <w:snapToGrid w:val="0"/>
        <w:spacing w:line="430" w:lineRule="exact"/>
        <w:ind w:firstLine="480" w:firstLineChars="200"/>
        <w:rPr>
          <w:rFonts w:hint="eastAsia" w:ascii="宋体" w:hAnsi="宋体"/>
          <w:snapToGrid w:val="0"/>
          <w:color w:val="000000"/>
          <w:kern w:val="0"/>
          <w:sz w:val="24"/>
        </w:rPr>
      </w:pPr>
      <w:r>
        <w:rPr>
          <w:rFonts w:hint="eastAsia" w:ascii="宋体" w:hAnsi="宋体"/>
          <w:snapToGrid w:val="0"/>
          <w:color w:val="000000"/>
          <w:kern w:val="0"/>
          <w:sz w:val="24"/>
        </w:rPr>
        <w:t>4.行肺局部切除/肺叶切除/全肺切除/开胸探查术</w:t>
      </w:r>
    </w:p>
    <w:p>
      <w:pPr>
        <w:adjustRightInd w:val="0"/>
        <w:snapToGrid w:val="0"/>
        <w:spacing w:line="430" w:lineRule="exact"/>
        <w:ind w:firstLine="480" w:firstLineChars="200"/>
        <w:rPr>
          <w:rFonts w:hint="eastAsia" w:ascii="宋体" w:hAnsi="宋体"/>
          <w:snapToGrid w:val="0"/>
          <w:color w:val="000000"/>
          <w:kern w:val="0"/>
          <w:sz w:val="24"/>
        </w:rPr>
      </w:pPr>
      <w:r>
        <w:rPr>
          <w:rFonts w:hint="eastAsia" w:ascii="宋体" w:hAnsi="宋体"/>
          <w:snapToGrid w:val="0"/>
          <w:color w:val="000000"/>
          <w:kern w:val="0"/>
          <w:sz w:val="24"/>
        </w:rPr>
        <w:t>(ICD-9-CM-3:32.29/32.3-32.5)。</w:t>
      </w:r>
    </w:p>
    <w:p>
      <w:pPr>
        <w:adjustRightInd w:val="0"/>
        <w:snapToGrid w:val="0"/>
        <w:spacing w:line="430" w:lineRule="exact"/>
        <w:ind w:firstLine="480" w:firstLineChars="200"/>
        <w:rPr>
          <w:rFonts w:ascii="宋体" w:hAnsi="宋体"/>
          <w:snapToGrid w:val="0"/>
          <w:color w:val="000000"/>
          <w:kern w:val="0"/>
          <w:sz w:val="24"/>
        </w:rPr>
      </w:pPr>
      <w:r>
        <w:rPr>
          <w:rFonts w:hint="eastAsia" w:ascii="宋体" w:hAnsi="宋体"/>
          <w:snapToGrid w:val="0"/>
          <w:color w:val="000000"/>
          <w:kern w:val="0"/>
          <w:sz w:val="24"/>
        </w:rPr>
        <w:t>在定点医疗机构实施手术治疗发生的费用，纳入新农合重大疾病按病种付费范围。</w:t>
      </w:r>
    </w:p>
    <w:p>
      <w:pPr>
        <w:adjustRightInd w:val="0"/>
        <w:snapToGrid w:val="0"/>
        <w:spacing w:line="430" w:lineRule="exact"/>
        <w:ind w:firstLine="360" w:firstLineChars="150"/>
        <w:rPr>
          <w:rFonts w:hint="eastAsia" w:ascii="方正楷体简体" w:hAnsi="宋体" w:eastAsia="方正楷体简体"/>
          <w:snapToGrid w:val="0"/>
          <w:color w:val="000000"/>
          <w:kern w:val="0"/>
          <w:sz w:val="24"/>
        </w:rPr>
      </w:pPr>
      <w:r>
        <w:rPr>
          <w:rFonts w:hint="eastAsia" w:ascii="方正楷体简体" w:hAnsi="宋体" w:eastAsia="方正楷体简体"/>
          <w:snapToGrid w:val="0"/>
          <w:color w:val="000000"/>
          <w:kern w:val="0"/>
          <w:sz w:val="24"/>
        </w:rPr>
        <w:t>（二）支付条件。</w:t>
      </w:r>
    </w:p>
    <w:p>
      <w:pPr>
        <w:adjustRightInd w:val="0"/>
        <w:snapToGrid w:val="0"/>
        <w:spacing w:line="430" w:lineRule="exact"/>
        <w:ind w:firstLine="480" w:firstLineChars="200"/>
        <w:rPr>
          <w:rFonts w:ascii="宋体" w:hAnsi="宋体"/>
          <w:snapToGrid w:val="0"/>
          <w:color w:val="000000"/>
          <w:kern w:val="0"/>
          <w:sz w:val="24"/>
        </w:rPr>
      </w:pPr>
      <w:r>
        <w:rPr>
          <w:rFonts w:hint="eastAsia" w:ascii="宋体" w:hAnsi="宋体"/>
          <w:snapToGrid w:val="0"/>
          <w:color w:val="000000"/>
          <w:kern w:val="0"/>
          <w:sz w:val="24"/>
        </w:rPr>
        <w:t>治疗过程需严格按照</w:t>
      </w:r>
      <w:r>
        <w:rPr>
          <w:rFonts w:hint="eastAsia" w:ascii="宋体" w:hAnsi="宋体" w:cs="宋体"/>
          <w:snapToGrid w:val="0"/>
          <w:color w:val="000000"/>
          <w:kern w:val="0"/>
          <w:sz w:val="24"/>
        </w:rPr>
        <w:t>《原发性肺癌手术临床路径（2012年版）》</w:t>
      </w:r>
      <w:r>
        <w:rPr>
          <w:rFonts w:hint="eastAsia" w:ascii="宋体" w:hAnsi="宋体"/>
          <w:snapToGrid w:val="0"/>
          <w:color w:val="000000"/>
          <w:kern w:val="0"/>
          <w:sz w:val="24"/>
        </w:rPr>
        <w:t>执行，方可实行按病种付费。</w:t>
      </w:r>
    </w:p>
    <w:p>
      <w:pPr>
        <w:adjustRightInd w:val="0"/>
        <w:snapToGrid w:val="0"/>
        <w:spacing w:line="430" w:lineRule="exact"/>
        <w:ind w:firstLine="360" w:firstLineChars="150"/>
        <w:rPr>
          <w:rFonts w:hint="eastAsia" w:ascii="方正楷体简体" w:hAnsi="宋体" w:eastAsia="方正楷体简体"/>
          <w:snapToGrid w:val="0"/>
          <w:color w:val="000000"/>
          <w:kern w:val="0"/>
          <w:sz w:val="24"/>
        </w:rPr>
      </w:pPr>
      <w:r>
        <w:rPr>
          <w:rFonts w:hint="eastAsia" w:ascii="方正楷体简体" w:hAnsi="宋体" w:eastAsia="方正楷体简体"/>
          <w:snapToGrid w:val="0"/>
          <w:color w:val="000000"/>
          <w:kern w:val="0"/>
          <w:sz w:val="24"/>
        </w:rPr>
        <w:t>（三）支付标准。</w:t>
      </w:r>
    </w:p>
    <w:p>
      <w:pPr>
        <w:adjustRightInd w:val="0"/>
        <w:snapToGrid w:val="0"/>
        <w:spacing w:line="430" w:lineRule="exact"/>
        <w:ind w:firstLine="480" w:firstLineChars="200"/>
        <w:rPr>
          <w:rFonts w:ascii="宋体" w:hAnsi="宋体"/>
          <w:snapToGrid w:val="0"/>
          <w:color w:val="000000"/>
          <w:kern w:val="0"/>
          <w:sz w:val="24"/>
        </w:rPr>
      </w:pPr>
      <w:r>
        <w:rPr>
          <w:rFonts w:hint="eastAsia" w:ascii="宋体" w:hAnsi="宋体"/>
          <w:snapToGrid w:val="0"/>
          <w:color w:val="000000"/>
          <w:kern w:val="0"/>
          <w:sz w:val="24"/>
        </w:rPr>
        <w:t>支付的费用包括患者每次住院期间发生的费用（含术后1个周期的化疗）。医院应按照定额支付标准收取费用，其中三级医院相应标准的70%，二级医院相应标准的75%由新农合基金支付。</w:t>
      </w:r>
    </w:p>
    <w:p>
      <w:pPr>
        <w:spacing w:line="430" w:lineRule="exact"/>
        <w:jc w:val="center"/>
        <w:rPr>
          <w:rFonts w:hint="eastAsia" w:ascii="宋体" w:hAnsi="宋体"/>
          <w:sz w:val="24"/>
        </w:rPr>
      </w:pPr>
      <w:r>
        <w:rPr>
          <w:rFonts w:hint="eastAsia" w:ascii="宋体" w:hAnsi="宋体"/>
          <w:sz w:val="24"/>
        </w:rPr>
        <w:t>表4  肺癌住院治疗费用的定额支付标准</w:t>
      </w:r>
    </w:p>
    <w:tbl>
      <w:tblPr>
        <w:tblStyle w:val="4"/>
        <w:tblW w:w="7484" w:type="dxa"/>
        <w:jc w:val="center"/>
        <w:tblInd w:w="0" w:type="dxa"/>
        <w:tblLayout w:type="fixed"/>
        <w:tblCellMar>
          <w:top w:w="0" w:type="dxa"/>
          <w:left w:w="28" w:type="dxa"/>
          <w:bottom w:w="0" w:type="dxa"/>
          <w:right w:w="28" w:type="dxa"/>
        </w:tblCellMar>
      </w:tblPr>
      <w:tblGrid>
        <w:gridCol w:w="1336"/>
        <w:gridCol w:w="1336"/>
        <w:gridCol w:w="1203"/>
        <w:gridCol w:w="1203"/>
        <w:gridCol w:w="1203"/>
        <w:gridCol w:w="1203"/>
      </w:tblGrid>
      <w:tr>
        <w:tblPrEx>
          <w:tblLayout w:type="fixed"/>
          <w:tblCellMar>
            <w:top w:w="0" w:type="dxa"/>
            <w:left w:w="28" w:type="dxa"/>
            <w:bottom w:w="0" w:type="dxa"/>
            <w:right w:w="28" w:type="dxa"/>
          </w:tblCellMar>
        </w:tblPrEx>
        <w:trPr>
          <w:trHeight w:val="450" w:hRule="atLeast"/>
          <w:jc w:val="center"/>
        </w:trPr>
        <w:tc>
          <w:tcPr>
            <w:tcW w:w="2672" w:type="dxa"/>
            <w:gridSpan w:val="2"/>
            <w:tcBorders>
              <w:top w:val="single" w:color="auto" w:sz="4" w:space="0"/>
              <w:left w:val="nil"/>
              <w:bottom w:val="single" w:color="auto" w:sz="4" w:space="0"/>
              <w:right w:val="nil"/>
            </w:tcBorders>
            <w:vAlign w:val="center"/>
          </w:tcPr>
          <w:p>
            <w:pPr>
              <w:widowControl/>
              <w:spacing w:line="410" w:lineRule="exact"/>
              <w:rPr>
                <w:rFonts w:ascii="宋体" w:hAnsi="宋体" w:cs="宋体"/>
                <w:b/>
                <w:bCs/>
                <w:kern w:val="0"/>
                <w:szCs w:val="21"/>
              </w:rPr>
            </w:pPr>
            <w:r>
              <w:rPr>
                <w:rFonts w:hint="eastAsia" w:ascii="宋体" w:hAnsi="宋体" w:cs="宋体"/>
                <w:b/>
                <w:bCs/>
                <w:kern w:val="0"/>
                <w:szCs w:val="21"/>
              </w:rPr>
              <w:t>省级定点救治医院（万元）</w:t>
            </w:r>
          </w:p>
        </w:tc>
        <w:tc>
          <w:tcPr>
            <w:tcW w:w="2406" w:type="dxa"/>
            <w:gridSpan w:val="2"/>
            <w:tcBorders>
              <w:top w:val="single" w:color="auto" w:sz="4" w:space="0"/>
              <w:left w:val="nil"/>
              <w:bottom w:val="single" w:color="auto" w:sz="4" w:space="0"/>
              <w:right w:val="nil"/>
            </w:tcBorders>
            <w:vAlign w:val="center"/>
          </w:tcPr>
          <w:p>
            <w:pPr>
              <w:widowControl/>
              <w:spacing w:line="410" w:lineRule="exact"/>
              <w:jc w:val="center"/>
              <w:rPr>
                <w:rFonts w:ascii="宋体" w:hAnsi="宋体" w:cs="宋体"/>
                <w:b/>
                <w:bCs/>
                <w:kern w:val="0"/>
                <w:szCs w:val="21"/>
              </w:rPr>
            </w:pPr>
            <w:r>
              <w:rPr>
                <w:rFonts w:hint="eastAsia" w:ascii="宋体" w:hAnsi="宋体" w:cs="宋体"/>
                <w:b/>
                <w:bCs/>
                <w:kern w:val="0"/>
                <w:szCs w:val="21"/>
              </w:rPr>
              <w:t>三级医院（万元）</w:t>
            </w:r>
          </w:p>
        </w:tc>
        <w:tc>
          <w:tcPr>
            <w:tcW w:w="2406" w:type="dxa"/>
            <w:gridSpan w:val="2"/>
            <w:tcBorders>
              <w:top w:val="single" w:color="auto" w:sz="4" w:space="0"/>
              <w:left w:val="nil"/>
              <w:bottom w:val="single" w:color="auto" w:sz="4" w:space="0"/>
              <w:right w:val="nil"/>
            </w:tcBorders>
            <w:vAlign w:val="center"/>
          </w:tcPr>
          <w:p>
            <w:pPr>
              <w:widowControl/>
              <w:spacing w:line="410" w:lineRule="exact"/>
              <w:jc w:val="center"/>
              <w:rPr>
                <w:rFonts w:ascii="宋体" w:hAnsi="宋体" w:cs="宋体"/>
                <w:b/>
                <w:bCs/>
                <w:kern w:val="0"/>
                <w:szCs w:val="21"/>
              </w:rPr>
            </w:pPr>
            <w:r>
              <w:rPr>
                <w:rFonts w:hint="eastAsia" w:ascii="宋体" w:hAnsi="宋体" w:cs="宋体"/>
                <w:b/>
                <w:bCs/>
                <w:kern w:val="0"/>
                <w:szCs w:val="21"/>
              </w:rPr>
              <w:t xml:space="preserve"> 二级医院（万元）</w:t>
            </w:r>
          </w:p>
        </w:tc>
      </w:tr>
      <w:tr>
        <w:tblPrEx>
          <w:tblLayout w:type="fixed"/>
          <w:tblCellMar>
            <w:top w:w="0" w:type="dxa"/>
            <w:left w:w="28" w:type="dxa"/>
            <w:bottom w:w="0" w:type="dxa"/>
            <w:right w:w="28" w:type="dxa"/>
          </w:tblCellMar>
        </w:tblPrEx>
        <w:trPr>
          <w:trHeight w:val="451" w:hRule="atLeast"/>
          <w:jc w:val="center"/>
        </w:trPr>
        <w:tc>
          <w:tcPr>
            <w:tcW w:w="1336" w:type="dxa"/>
            <w:tcBorders>
              <w:top w:val="nil"/>
              <w:left w:val="nil"/>
              <w:bottom w:val="nil"/>
              <w:right w:val="nil"/>
            </w:tcBorders>
            <w:vAlign w:val="center"/>
          </w:tcPr>
          <w:p>
            <w:pPr>
              <w:widowControl/>
              <w:spacing w:line="410" w:lineRule="exact"/>
              <w:jc w:val="center"/>
              <w:rPr>
                <w:rFonts w:ascii="宋体" w:hAnsi="宋体" w:cs="宋体"/>
                <w:b/>
                <w:bCs/>
                <w:kern w:val="0"/>
                <w:szCs w:val="21"/>
              </w:rPr>
            </w:pPr>
            <w:r>
              <w:rPr>
                <w:rFonts w:hint="eastAsia" w:ascii="宋体" w:hAnsi="宋体" w:cs="宋体"/>
                <w:b/>
                <w:bCs/>
                <w:kern w:val="0"/>
                <w:szCs w:val="21"/>
              </w:rPr>
              <w:t>支付标准</w:t>
            </w:r>
          </w:p>
        </w:tc>
        <w:tc>
          <w:tcPr>
            <w:tcW w:w="1336" w:type="dxa"/>
            <w:tcBorders>
              <w:top w:val="nil"/>
              <w:left w:val="nil"/>
              <w:bottom w:val="nil"/>
              <w:right w:val="nil"/>
            </w:tcBorders>
            <w:vAlign w:val="center"/>
          </w:tcPr>
          <w:p>
            <w:pPr>
              <w:widowControl/>
              <w:spacing w:line="410" w:lineRule="exact"/>
              <w:jc w:val="center"/>
              <w:rPr>
                <w:rFonts w:ascii="宋体" w:hAnsi="宋体" w:cs="宋体"/>
                <w:b/>
                <w:bCs/>
                <w:kern w:val="0"/>
                <w:szCs w:val="21"/>
              </w:rPr>
            </w:pPr>
            <w:r>
              <w:rPr>
                <w:rFonts w:hint="eastAsia" w:ascii="宋体" w:hAnsi="宋体" w:cs="宋体"/>
                <w:b/>
                <w:bCs/>
                <w:kern w:val="0"/>
                <w:szCs w:val="21"/>
              </w:rPr>
              <w:t>新农合支付</w:t>
            </w:r>
          </w:p>
        </w:tc>
        <w:tc>
          <w:tcPr>
            <w:tcW w:w="1203" w:type="dxa"/>
            <w:tcBorders>
              <w:top w:val="nil"/>
              <w:left w:val="nil"/>
              <w:bottom w:val="nil"/>
              <w:right w:val="nil"/>
            </w:tcBorders>
            <w:vAlign w:val="center"/>
          </w:tcPr>
          <w:p>
            <w:pPr>
              <w:widowControl/>
              <w:spacing w:line="410" w:lineRule="exact"/>
              <w:jc w:val="center"/>
              <w:rPr>
                <w:rFonts w:ascii="宋体" w:hAnsi="宋体" w:cs="宋体"/>
                <w:b/>
                <w:bCs/>
                <w:kern w:val="0"/>
                <w:szCs w:val="21"/>
              </w:rPr>
            </w:pPr>
            <w:r>
              <w:rPr>
                <w:rFonts w:hint="eastAsia" w:ascii="宋体" w:hAnsi="宋体" w:cs="宋体"/>
                <w:b/>
                <w:bCs/>
                <w:kern w:val="0"/>
                <w:szCs w:val="21"/>
              </w:rPr>
              <w:t>支付标准</w:t>
            </w:r>
          </w:p>
        </w:tc>
        <w:tc>
          <w:tcPr>
            <w:tcW w:w="1203" w:type="dxa"/>
            <w:tcBorders>
              <w:top w:val="nil"/>
              <w:left w:val="nil"/>
              <w:bottom w:val="nil"/>
              <w:right w:val="nil"/>
            </w:tcBorders>
            <w:vAlign w:val="center"/>
          </w:tcPr>
          <w:p>
            <w:pPr>
              <w:widowControl/>
              <w:spacing w:line="410" w:lineRule="exact"/>
              <w:jc w:val="center"/>
              <w:rPr>
                <w:rFonts w:ascii="宋体" w:hAnsi="宋体" w:cs="宋体"/>
                <w:b/>
                <w:bCs/>
                <w:kern w:val="0"/>
                <w:szCs w:val="21"/>
              </w:rPr>
            </w:pPr>
            <w:r>
              <w:rPr>
                <w:rFonts w:hint="eastAsia" w:ascii="宋体" w:hAnsi="宋体" w:cs="宋体"/>
                <w:b/>
                <w:bCs/>
                <w:kern w:val="0"/>
                <w:szCs w:val="21"/>
              </w:rPr>
              <w:t>新农合支付</w:t>
            </w:r>
          </w:p>
        </w:tc>
        <w:tc>
          <w:tcPr>
            <w:tcW w:w="1203" w:type="dxa"/>
            <w:tcBorders>
              <w:top w:val="nil"/>
              <w:left w:val="nil"/>
              <w:bottom w:val="nil"/>
              <w:right w:val="nil"/>
            </w:tcBorders>
            <w:vAlign w:val="center"/>
          </w:tcPr>
          <w:p>
            <w:pPr>
              <w:widowControl/>
              <w:spacing w:line="410" w:lineRule="exact"/>
              <w:jc w:val="center"/>
              <w:rPr>
                <w:rFonts w:ascii="宋体" w:hAnsi="宋体" w:cs="宋体"/>
                <w:b/>
                <w:bCs/>
                <w:kern w:val="0"/>
                <w:szCs w:val="21"/>
              </w:rPr>
            </w:pPr>
            <w:r>
              <w:rPr>
                <w:rFonts w:hint="eastAsia" w:ascii="宋体" w:hAnsi="宋体" w:cs="宋体"/>
                <w:b/>
                <w:bCs/>
                <w:kern w:val="0"/>
                <w:szCs w:val="21"/>
              </w:rPr>
              <w:t>支付标准</w:t>
            </w:r>
          </w:p>
        </w:tc>
        <w:tc>
          <w:tcPr>
            <w:tcW w:w="1203" w:type="dxa"/>
            <w:tcBorders>
              <w:top w:val="nil"/>
              <w:left w:val="nil"/>
              <w:bottom w:val="nil"/>
              <w:right w:val="nil"/>
            </w:tcBorders>
            <w:vAlign w:val="center"/>
          </w:tcPr>
          <w:p>
            <w:pPr>
              <w:widowControl/>
              <w:spacing w:line="410" w:lineRule="exact"/>
              <w:jc w:val="center"/>
              <w:rPr>
                <w:rFonts w:ascii="宋体" w:hAnsi="宋体" w:cs="宋体"/>
                <w:b/>
                <w:bCs/>
                <w:kern w:val="0"/>
                <w:szCs w:val="21"/>
              </w:rPr>
            </w:pPr>
            <w:r>
              <w:rPr>
                <w:rFonts w:hint="eastAsia" w:ascii="宋体" w:hAnsi="宋体" w:cs="宋体"/>
                <w:b/>
                <w:bCs/>
                <w:kern w:val="0"/>
                <w:szCs w:val="21"/>
              </w:rPr>
              <w:t>新农合支付</w:t>
            </w:r>
          </w:p>
        </w:tc>
      </w:tr>
      <w:tr>
        <w:tblPrEx>
          <w:tblLayout w:type="fixed"/>
          <w:tblCellMar>
            <w:top w:w="0" w:type="dxa"/>
            <w:left w:w="28" w:type="dxa"/>
            <w:bottom w:w="0" w:type="dxa"/>
            <w:right w:w="28" w:type="dxa"/>
          </w:tblCellMar>
        </w:tblPrEx>
        <w:trPr>
          <w:trHeight w:val="451" w:hRule="atLeast"/>
          <w:jc w:val="center"/>
        </w:trPr>
        <w:tc>
          <w:tcPr>
            <w:tcW w:w="1336" w:type="dxa"/>
            <w:tcBorders>
              <w:top w:val="nil"/>
              <w:left w:val="nil"/>
              <w:bottom w:val="single" w:color="auto" w:sz="4" w:space="0"/>
              <w:right w:val="nil"/>
            </w:tcBorders>
            <w:vAlign w:val="center"/>
          </w:tcPr>
          <w:p>
            <w:pPr>
              <w:widowControl/>
              <w:spacing w:line="410" w:lineRule="exact"/>
              <w:jc w:val="center"/>
              <w:rPr>
                <w:rFonts w:ascii="宋体" w:hAnsi="宋体"/>
                <w:bCs/>
                <w:kern w:val="0"/>
                <w:szCs w:val="21"/>
              </w:rPr>
            </w:pPr>
            <w:r>
              <w:rPr>
                <w:rFonts w:hint="eastAsia" w:ascii="宋体" w:hAnsi="宋体"/>
                <w:bCs/>
                <w:kern w:val="0"/>
                <w:szCs w:val="21"/>
              </w:rPr>
              <w:t>3.4</w:t>
            </w:r>
          </w:p>
        </w:tc>
        <w:tc>
          <w:tcPr>
            <w:tcW w:w="1336" w:type="dxa"/>
            <w:tcBorders>
              <w:top w:val="nil"/>
              <w:left w:val="nil"/>
              <w:bottom w:val="single" w:color="auto" w:sz="4" w:space="0"/>
              <w:right w:val="nil"/>
            </w:tcBorders>
            <w:vAlign w:val="center"/>
          </w:tcPr>
          <w:p>
            <w:pPr>
              <w:widowControl/>
              <w:spacing w:line="410" w:lineRule="exact"/>
              <w:jc w:val="center"/>
              <w:rPr>
                <w:rFonts w:ascii="宋体" w:hAnsi="宋体"/>
                <w:bCs/>
                <w:kern w:val="0"/>
                <w:szCs w:val="21"/>
              </w:rPr>
            </w:pPr>
            <w:r>
              <w:rPr>
                <w:rFonts w:hint="eastAsia" w:ascii="宋体" w:hAnsi="宋体"/>
                <w:bCs/>
                <w:kern w:val="0"/>
                <w:szCs w:val="21"/>
              </w:rPr>
              <w:t>2.38</w:t>
            </w:r>
          </w:p>
        </w:tc>
        <w:tc>
          <w:tcPr>
            <w:tcW w:w="1203" w:type="dxa"/>
            <w:tcBorders>
              <w:top w:val="nil"/>
              <w:left w:val="nil"/>
              <w:bottom w:val="single" w:color="auto" w:sz="4" w:space="0"/>
              <w:right w:val="nil"/>
            </w:tcBorders>
            <w:vAlign w:val="center"/>
          </w:tcPr>
          <w:p>
            <w:pPr>
              <w:widowControl/>
              <w:spacing w:line="410" w:lineRule="exact"/>
              <w:jc w:val="center"/>
              <w:rPr>
                <w:rFonts w:ascii="宋体" w:hAnsi="宋体"/>
                <w:bCs/>
                <w:kern w:val="0"/>
                <w:szCs w:val="21"/>
              </w:rPr>
            </w:pPr>
            <w:r>
              <w:rPr>
                <w:rFonts w:hint="eastAsia" w:ascii="宋体" w:hAnsi="宋体"/>
                <w:bCs/>
                <w:kern w:val="0"/>
                <w:szCs w:val="21"/>
              </w:rPr>
              <w:t>3.04</w:t>
            </w:r>
          </w:p>
        </w:tc>
        <w:tc>
          <w:tcPr>
            <w:tcW w:w="1203" w:type="dxa"/>
            <w:tcBorders>
              <w:top w:val="nil"/>
              <w:left w:val="nil"/>
              <w:bottom w:val="single" w:color="auto" w:sz="4" w:space="0"/>
              <w:right w:val="nil"/>
            </w:tcBorders>
            <w:vAlign w:val="center"/>
          </w:tcPr>
          <w:p>
            <w:pPr>
              <w:widowControl/>
              <w:spacing w:line="410" w:lineRule="exact"/>
              <w:jc w:val="center"/>
              <w:rPr>
                <w:rFonts w:ascii="宋体" w:hAnsi="宋体"/>
                <w:bCs/>
                <w:kern w:val="0"/>
                <w:szCs w:val="21"/>
              </w:rPr>
            </w:pPr>
            <w:r>
              <w:rPr>
                <w:rFonts w:hint="eastAsia" w:ascii="宋体" w:hAnsi="宋体"/>
                <w:bCs/>
                <w:kern w:val="0"/>
                <w:szCs w:val="21"/>
              </w:rPr>
              <w:t>2.13</w:t>
            </w:r>
          </w:p>
        </w:tc>
        <w:tc>
          <w:tcPr>
            <w:tcW w:w="1203" w:type="dxa"/>
            <w:tcBorders>
              <w:top w:val="nil"/>
              <w:left w:val="nil"/>
              <w:bottom w:val="single" w:color="auto" w:sz="4" w:space="0"/>
              <w:right w:val="nil"/>
            </w:tcBorders>
            <w:vAlign w:val="center"/>
          </w:tcPr>
          <w:p>
            <w:pPr>
              <w:widowControl/>
              <w:spacing w:line="410" w:lineRule="exact"/>
              <w:jc w:val="center"/>
              <w:rPr>
                <w:rFonts w:ascii="宋体" w:hAnsi="宋体"/>
                <w:bCs/>
                <w:kern w:val="0"/>
                <w:szCs w:val="21"/>
              </w:rPr>
            </w:pPr>
            <w:r>
              <w:rPr>
                <w:rFonts w:hint="eastAsia" w:ascii="宋体" w:hAnsi="宋体"/>
                <w:bCs/>
                <w:kern w:val="0"/>
                <w:szCs w:val="21"/>
              </w:rPr>
              <w:t>2.7</w:t>
            </w:r>
          </w:p>
        </w:tc>
        <w:tc>
          <w:tcPr>
            <w:tcW w:w="1203" w:type="dxa"/>
            <w:tcBorders>
              <w:top w:val="nil"/>
              <w:left w:val="nil"/>
              <w:bottom w:val="single" w:color="auto" w:sz="4" w:space="0"/>
              <w:right w:val="nil"/>
            </w:tcBorders>
            <w:vAlign w:val="center"/>
          </w:tcPr>
          <w:p>
            <w:pPr>
              <w:widowControl/>
              <w:spacing w:line="410" w:lineRule="exact"/>
              <w:jc w:val="center"/>
              <w:rPr>
                <w:rFonts w:ascii="宋体" w:hAnsi="宋体"/>
                <w:bCs/>
                <w:kern w:val="0"/>
                <w:szCs w:val="21"/>
              </w:rPr>
            </w:pPr>
            <w:r>
              <w:rPr>
                <w:rFonts w:hint="eastAsia" w:ascii="宋体" w:hAnsi="宋体"/>
                <w:bCs/>
                <w:kern w:val="0"/>
                <w:szCs w:val="21"/>
              </w:rPr>
              <w:t>2.03</w:t>
            </w:r>
          </w:p>
        </w:tc>
      </w:tr>
    </w:tbl>
    <w:p>
      <w:pPr>
        <w:adjustRightInd w:val="0"/>
        <w:snapToGrid w:val="0"/>
        <w:spacing w:line="430" w:lineRule="exact"/>
        <w:ind w:firstLine="480" w:firstLineChars="200"/>
        <w:rPr>
          <w:rFonts w:hint="eastAsia" w:ascii="黑体" w:hAnsi="宋体" w:eastAsia="黑体"/>
          <w:snapToGrid w:val="0"/>
          <w:color w:val="000000"/>
          <w:kern w:val="0"/>
          <w:sz w:val="24"/>
        </w:rPr>
      </w:pPr>
      <w:r>
        <w:rPr>
          <w:rFonts w:hint="eastAsia" w:ascii="黑体" w:hAnsi="宋体" w:eastAsia="黑体"/>
          <w:snapToGrid w:val="0"/>
          <w:color w:val="000000"/>
          <w:kern w:val="0"/>
          <w:sz w:val="24"/>
        </w:rPr>
        <w:t>五、宫颈癌</w:t>
      </w:r>
    </w:p>
    <w:p>
      <w:pPr>
        <w:adjustRightInd w:val="0"/>
        <w:snapToGrid w:val="0"/>
        <w:spacing w:line="430" w:lineRule="exact"/>
        <w:ind w:firstLine="480" w:firstLineChars="200"/>
        <w:rPr>
          <w:rFonts w:hint="eastAsia" w:ascii="方正楷体简体" w:hAnsi="宋体" w:eastAsia="方正楷体简体"/>
          <w:snapToGrid w:val="0"/>
          <w:color w:val="000000"/>
          <w:kern w:val="0"/>
          <w:sz w:val="24"/>
        </w:rPr>
      </w:pPr>
      <w:r>
        <w:rPr>
          <w:rFonts w:hint="eastAsia" w:ascii="方正楷体简体" w:hAnsi="宋体" w:eastAsia="方正楷体简体"/>
          <w:snapToGrid w:val="0"/>
          <w:color w:val="000000"/>
          <w:kern w:val="0"/>
          <w:sz w:val="24"/>
        </w:rPr>
        <w:t>（一）适用对象。</w:t>
      </w:r>
    </w:p>
    <w:p>
      <w:pPr>
        <w:adjustRightInd w:val="0"/>
        <w:snapToGrid w:val="0"/>
        <w:spacing w:line="430" w:lineRule="exact"/>
        <w:ind w:firstLine="480" w:firstLineChars="200"/>
        <w:rPr>
          <w:rFonts w:ascii="宋体" w:hAnsi="宋体"/>
          <w:snapToGrid w:val="0"/>
          <w:color w:val="000000"/>
          <w:kern w:val="0"/>
          <w:sz w:val="24"/>
        </w:rPr>
      </w:pPr>
      <w:r>
        <w:rPr>
          <w:rFonts w:hint="eastAsia" w:ascii="宋体" w:hAnsi="宋体"/>
          <w:snapToGrid w:val="0"/>
          <w:color w:val="000000"/>
          <w:kern w:val="0"/>
          <w:sz w:val="24"/>
        </w:rPr>
        <w:t>以</w:t>
      </w:r>
      <w:r>
        <w:rPr>
          <w:rFonts w:ascii="宋体" w:hAnsi="宋体"/>
          <w:snapToGrid w:val="0"/>
          <w:color w:val="000000"/>
          <w:kern w:val="0"/>
          <w:sz w:val="24"/>
        </w:rPr>
        <w:t>宫颈癌（ICD-10：C53）</w:t>
      </w:r>
      <w:r>
        <w:rPr>
          <w:rFonts w:hint="eastAsia" w:ascii="宋体" w:hAnsi="宋体"/>
          <w:snapToGrid w:val="0"/>
          <w:color w:val="000000"/>
          <w:kern w:val="0"/>
          <w:sz w:val="24"/>
        </w:rPr>
        <w:t>Ⅰ</w:t>
      </w:r>
      <w:r>
        <w:rPr>
          <w:rFonts w:ascii="宋体" w:hAnsi="宋体"/>
          <w:snapToGrid w:val="0"/>
          <w:color w:val="000000"/>
          <w:kern w:val="0"/>
          <w:sz w:val="24"/>
        </w:rPr>
        <w:t>a2期-</w:t>
      </w:r>
      <w:r>
        <w:rPr>
          <w:rFonts w:hint="eastAsia" w:ascii="宋体" w:hAnsi="宋体"/>
          <w:snapToGrid w:val="0"/>
          <w:color w:val="000000"/>
          <w:kern w:val="0"/>
          <w:sz w:val="24"/>
        </w:rPr>
        <w:t>Ⅱ</w:t>
      </w:r>
      <w:r>
        <w:rPr>
          <w:rFonts w:ascii="宋体" w:hAnsi="宋体"/>
          <w:snapToGrid w:val="0"/>
          <w:color w:val="000000"/>
          <w:kern w:val="0"/>
          <w:sz w:val="24"/>
        </w:rPr>
        <w:t>a期</w:t>
      </w:r>
      <w:r>
        <w:rPr>
          <w:rFonts w:hint="eastAsia" w:ascii="宋体" w:hAnsi="宋体"/>
          <w:snapToGrid w:val="0"/>
          <w:color w:val="000000"/>
          <w:kern w:val="0"/>
          <w:sz w:val="24"/>
        </w:rPr>
        <w:t>为</w:t>
      </w:r>
      <w:r>
        <w:rPr>
          <w:rFonts w:ascii="宋体" w:hAnsi="宋体"/>
          <w:snapToGrid w:val="0"/>
          <w:color w:val="000000"/>
          <w:kern w:val="0"/>
          <w:sz w:val="24"/>
        </w:rPr>
        <w:t>第一诊断</w:t>
      </w:r>
      <w:r>
        <w:rPr>
          <w:rFonts w:hint="eastAsia" w:ascii="宋体" w:hAnsi="宋体"/>
          <w:snapToGrid w:val="0"/>
          <w:color w:val="000000"/>
          <w:kern w:val="0"/>
          <w:sz w:val="24"/>
        </w:rPr>
        <w:t>，行手术治疗的患者，在定点医疗机构实施手术治疗（含附件切除或卵巢移位手术）发生的费用，纳入新农合重大疾病按病种付费范围。</w:t>
      </w:r>
    </w:p>
    <w:p>
      <w:pPr>
        <w:adjustRightInd w:val="0"/>
        <w:snapToGrid w:val="0"/>
        <w:spacing w:line="430" w:lineRule="exact"/>
        <w:ind w:firstLine="480" w:firstLineChars="200"/>
        <w:rPr>
          <w:rFonts w:hint="eastAsia" w:ascii="方正楷体简体" w:hAnsi="宋体" w:eastAsia="方正楷体简体"/>
          <w:snapToGrid w:val="0"/>
          <w:color w:val="000000"/>
          <w:kern w:val="0"/>
          <w:sz w:val="24"/>
        </w:rPr>
      </w:pPr>
      <w:r>
        <w:rPr>
          <w:rFonts w:hint="eastAsia" w:ascii="方正楷体简体" w:hAnsi="宋体" w:eastAsia="方正楷体简体"/>
          <w:snapToGrid w:val="0"/>
          <w:color w:val="000000"/>
          <w:kern w:val="0"/>
          <w:sz w:val="24"/>
        </w:rPr>
        <w:t>（二）支付条件。</w:t>
      </w:r>
    </w:p>
    <w:p>
      <w:pPr>
        <w:adjustRightInd w:val="0"/>
        <w:snapToGrid w:val="0"/>
        <w:spacing w:line="430" w:lineRule="exact"/>
        <w:ind w:firstLine="480" w:firstLineChars="200"/>
        <w:rPr>
          <w:rFonts w:ascii="宋体" w:hAnsi="宋体"/>
          <w:snapToGrid w:val="0"/>
          <w:color w:val="000000"/>
          <w:kern w:val="0"/>
          <w:sz w:val="24"/>
        </w:rPr>
      </w:pPr>
      <w:r>
        <w:rPr>
          <w:rFonts w:hint="eastAsia" w:ascii="宋体" w:hAnsi="宋体"/>
          <w:snapToGrid w:val="0"/>
          <w:color w:val="000000"/>
          <w:kern w:val="0"/>
          <w:sz w:val="24"/>
        </w:rPr>
        <w:t>治疗过程需严格按照《</w:t>
      </w:r>
      <w:r>
        <w:rPr>
          <w:rFonts w:ascii="宋体" w:hAnsi="宋体" w:cs="宋体"/>
          <w:snapToGrid w:val="0"/>
          <w:color w:val="000000"/>
          <w:kern w:val="0"/>
          <w:sz w:val="24"/>
        </w:rPr>
        <w:t>宫颈癌临床路径（2009年版）</w:t>
      </w:r>
      <w:r>
        <w:rPr>
          <w:rFonts w:hint="eastAsia" w:ascii="宋体" w:hAnsi="宋体" w:cs="宋体"/>
          <w:snapToGrid w:val="0"/>
          <w:color w:val="000000"/>
          <w:kern w:val="0"/>
          <w:sz w:val="24"/>
        </w:rPr>
        <w:t>》</w:t>
      </w:r>
      <w:r>
        <w:rPr>
          <w:rFonts w:hint="eastAsia" w:ascii="宋体" w:hAnsi="宋体"/>
          <w:snapToGrid w:val="0"/>
          <w:color w:val="000000"/>
          <w:kern w:val="0"/>
          <w:sz w:val="24"/>
        </w:rPr>
        <w:t>执行，方可实行按病种付费。</w:t>
      </w:r>
    </w:p>
    <w:p>
      <w:pPr>
        <w:adjustRightInd w:val="0"/>
        <w:snapToGrid w:val="0"/>
        <w:spacing w:line="430" w:lineRule="exact"/>
        <w:ind w:firstLine="480" w:firstLineChars="200"/>
        <w:rPr>
          <w:rFonts w:ascii="宋体" w:hAnsi="宋体"/>
          <w:snapToGrid w:val="0"/>
          <w:color w:val="000000"/>
          <w:kern w:val="0"/>
          <w:sz w:val="24"/>
        </w:rPr>
      </w:pPr>
      <w:r>
        <w:rPr>
          <w:rFonts w:hint="eastAsia" w:ascii="宋体" w:hAnsi="宋体"/>
          <w:snapToGrid w:val="0"/>
          <w:color w:val="000000"/>
          <w:kern w:val="0"/>
          <w:sz w:val="24"/>
        </w:rPr>
        <w:t>（三）支付标准。</w:t>
      </w:r>
    </w:p>
    <w:p>
      <w:pPr>
        <w:adjustRightInd w:val="0"/>
        <w:snapToGrid w:val="0"/>
        <w:spacing w:line="430" w:lineRule="exact"/>
        <w:ind w:firstLine="480" w:firstLineChars="200"/>
        <w:rPr>
          <w:rFonts w:hint="eastAsia" w:ascii="宋体" w:hAnsi="宋体"/>
          <w:snapToGrid w:val="0"/>
          <w:color w:val="000000"/>
          <w:kern w:val="0"/>
          <w:sz w:val="24"/>
        </w:rPr>
      </w:pPr>
      <w:r>
        <w:rPr>
          <w:rFonts w:hint="eastAsia" w:ascii="宋体" w:hAnsi="宋体"/>
          <w:snapToGrid w:val="0"/>
          <w:color w:val="000000"/>
          <w:kern w:val="0"/>
          <w:sz w:val="24"/>
        </w:rPr>
        <w:t>支付的费用包括患者每次住院期间发生的费用（含术后1个周期的化疗）。医院应按照定额支付标准收取费用，其中三级医院相应标准的70%，二级医院相应标准的75%由新农合基金支付。</w:t>
      </w:r>
    </w:p>
    <w:p>
      <w:pPr>
        <w:adjustRightInd w:val="0"/>
        <w:snapToGrid w:val="0"/>
        <w:spacing w:line="430" w:lineRule="exact"/>
        <w:ind w:firstLine="480" w:firstLineChars="200"/>
        <w:rPr>
          <w:rFonts w:ascii="宋体" w:hAnsi="宋体"/>
          <w:snapToGrid w:val="0"/>
          <w:color w:val="000000"/>
          <w:kern w:val="0"/>
          <w:sz w:val="24"/>
        </w:rPr>
      </w:pPr>
    </w:p>
    <w:p>
      <w:pPr>
        <w:adjustRightInd w:val="0"/>
        <w:snapToGrid w:val="0"/>
        <w:spacing w:line="430" w:lineRule="exact"/>
        <w:jc w:val="center"/>
        <w:rPr>
          <w:rFonts w:hint="eastAsia" w:ascii="宋体" w:hAnsi="宋体"/>
          <w:snapToGrid w:val="0"/>
          <w:color w:val="000000"/>
          <w:kern w:val="0"/>
          <w:sz w:val="24"/>
        </w:rPr>
      </w:pPr>
      <w:r>
        <w:rPr>
          <w:rFonts w:hint="eastAsia" w:ascii="宋体" w:hAnsi="宋体"/>
          <w:snapToGrid w:val="0"/>
          <w:color w:val="000000"/>
          <w:kern w:val="0"/>
          <w:sz w:val="24"/>
        </w:rPr>
        <w:t>表5  宫颈癌住院治疗费用的定额支付标准</w:t>
      </w:r>
    </w:p>
    <w:tbl>
      <w:tblPr>
        <w:tblStyle w:val="4"/>
        <w:tblW w:w="7484" w:type="dxa"/>
        <w:jc w:val="center"/>
        <w:tblInd w:w="0" w:type="dxa"/>
        <w:tblLayout w:type="fixed"/>
        <w:tblCellMar>
          <w:top w:w="0" w:type="dxa"/>
          <w:left w:w="28" w:type="dxa"/>
          <w:bottom w:w="0" w:type="dxa"/>
          <w:right w:w="28" w:type="dxa"/>
        </w:tblCellMar>
      </w:tblPr>
      <w:tblGrid>
        <w:gridCol w:w="1336"/>
        <w:gridCol w:w="1336"/>
        <w:gridCol w:w="1203"/>
        <w:gridCol w:w="1203"/>
        <w:gridCol w:w="1203"/>
        <w:gridCol w:w="1203"/>
      </w:tblGrid>
      <w:tr>
        <w:tblPrEx>
          <w:tblLayout w:type="fixed"/>
          <w:tblCellMar>
            <w:top w:w="0" w:type="dxa"/>
            <w:left w:w="28" w:type="dxa"/>
            <w:bottom w:w="0" w:type="dxa"/>
            <w:right w:w="28" w:type="dxa"/>
          </w:tblCellMar>
        </w:tblPrEx>
        <w:trPr>
          <w:trHeight w:val="450" w:hRule="atLeast"/>
          <w:jc w:val="center"/>
        </w:trPr>
        <w:tc>
          <w:tcPr>
            <w:tcW w:w="2672" w:type="dxa"/>
            <w:gridSpan w:val="2"/>
            <w:tcBorders>
              <w:top w:val="single" w:color="auto" w:sz="4" w:space="0"/>
              <w:left w:val="nil"/>
              <w:bottom w:val="single" w:color="auto" w:sz="4" w:space="0"/>
              <w:right w:val="nil"/>
            </w:tcBorders>
            <w:vAlign w:val="center"/>
          </w:tcPr>
          <w:p>
            <w:pPr>
              <w:widowControl/>
              <w:spacing w:line="410" w:lineRule="exact"/>
              <w:rPr>
                <w:rFonts w:ascii="宋体" w:hAnsi="宋体" w:cs="宋体"/>
                <w:b/>
                <w:bCs/>
                <w:kern w:val="0"/>
                <w:szCs w:val="21"/>
              </w:rPr>
            </w:pPr>
            <w:r>
              <w:rPr>
                <w:rFonts w:hint="eastAsia" w:ascii="宋体" w:hAnsi="宋体" w:cs="宋体"/>
                <w:b/>
                <w:bCs/>
                <w:kern w:val="0"/>
                <w:szCs w:val="21"/>
              </w:rPr>
              <w:t>省级定点救治医院（万元）</w:t>
            </w:r>
          </w:p>
        </w:tc>
        <w:tc>
          <w:tcPr>
            <w:tcW w:w="2406" w:type="dxa"/>
            <w:gridSpan w:val="2"/>
            <w:tcBorders>
              <w:top w:val="single" w:color="auto" w:sz="4" w:space="0"/>
              <w:left w:val="nil"/>
              <w:bottom w:val="single" w:color="auto" w:sz="4" w:space="0"/>
              <w:right w:val="nil"/>
            </w:tcBorders>
            <w:vAlign w:val="center"/>
          </w:tcPr>
          <w:p>
            <w:pPr>
              <w:widowControl/>
              <w:spacing w:line="410" w:lineRule="exact"/>
              <w:jc w:val="center"/>
              <w:rPr>
                <w:rFonts w:ascii="宋体" w:hAnsi="宋体" w:cs="宋体"/>
                <w:b/>
                <w:bCs/>
                <w:kern w:val="0"/>
                <w:szCs w:val="21"/>
              </w:rPr>
            </w:pPr>
            <w:r>
              <w:rPr>
                <w:rFonts w:hint="eastAsia" w:ascii="宋体" w:hAnsi="宋体" w:cs="宋体"/>
                <w:b/>
                <w:bCs/>
                <w:kern w:val="0"/>
                <w:szCs w:val="21"/>
              </w:rPr>
              <w:t>三级医院（万元）</w:t>
            </w:r>
          </w:p>
        </w:tc>
        <w:tc>
          <w:tcPr>
            <w:tcW w:w="2406" w:type="dxa"/>
            <w:gridSpan w:val="2"/>
            <w:tcBorders>
              <w:top w:val="single" w:color="auto" w:sz="4" w:space="0"/>
              <w:left w:val="nil"/>
              <w:bottom w:val="single" w:color="auto" w:sz="4" w:space="0"/>
              <w:right w:val="nil"/>
            </w:tcBorders>
            <w:vAlign w:val="center"/>
          </w:tcPr>
          <w:p>
            <w:pPr>
              <w:widowControl/>
              <w:spacing w:line="410" w:lineRule="exact"/>
              <w:jc w:val="center"/>
              <w:rPr>
                <w:rFonts w:ascii="宋体" w:hAnsi="宋体" w:cs="宋体"/>
                <w:b/>
                <w:bCs/>
                <w:kern w:val="0"/>
                <w:szCs w:val="21"/>
              </w:rPr>
            </w:pPr>
            <w:r>
              <w:rPr>
                <w:rFonts w:hint="eastAsia" w:ascii="宋体" w:hAnsi="宋体" w:cs="宋体"/>
                <w:b/>
                <w:bCs/>
                <w:kern w:val="0"/>
                <w:szCs w:val="21"/>
              </w:rPr>
              <w:t xml:space="preserve"> 二级医院（万元）</w:t>
            </w:r>
          </w:p>
        </w:tc>
      </w:tr>
      <w:tr>
        <w:tblPrEx>
          <w:tblLayout w:type="fixed"/>
          <w:tblCellMar>
            <w:top w:w="0" w:type="dxa"/>
            <w:left w:w="28" w:type="dxa"/>
            <w:bottom w:w="0" w:type="dxa"/>
            <w:right w:w="28" w:type="dxa"/>
          </w:tblCellMar>
        </w:tblPrEx>
        <w:trPr>
          <w:trHeight w:val="451" w:hRule="atLeast"/>
          <w:jc w:val="center"/>
        </w:trPr>
        <w:tc>
          <w:tcPr>
            <w:tcW w:w="1336" w:type="dxa"/>
            <w:tcBorders>
              <w:top w:val="nil"/>
              <w:left w:val="nil"/>
              <w:bottom w:val="nil"/>
              <w:right w:val="nil"/>
            </w:tcBorders>
            <w:vAlign w:val="center"/>
          </w:tcPr>
          <w:p>
            <w:pPr>
              <w:widowControl/>
              <w:spacing w:line="410" w:lineRule="exact"/>
              <w:jc w:val="center"/>
              <w:rPr>
                <w:rFonts w:ascii="宋体" w:hAnsi="宋体" w:cs="宋体"/>
                <w:b/>
                <w:bCs/>
                <w:kern w:val="0"/>
                <w:szCs w:val="21"/>
              </w:rPr>
            </w:pPr>
            <w:r>
              <w:rPr>
                <w:rFonts w:hint="eastAsia" w:ascii="宋体" w:hAnsi="宋体" w:cs="宋体"/>
                <w:b/>
                <w:bCs/>
                <w:kern w:val="0"/>
                <w:szCs w:val="21"/>
              </w:rPr>
              <w:t>支付标准</w:t>
            </w:r>
          </w:p>
        </w:tc>
        <w:tc>
          <w:tcPr>
            <w:tcW w:w="1336" w:type="dxa"/>
            <w:tcBorders>
              <w:top w:val="nil"/>
              <w:left w:val="nil"/>
              <w:bottom w:val="nil"/>
              <w:right w:val="nil"/>
            </w:tcBorders>
            <w:vAlign w:val="center"/>
          </w:tcPr>
          <w:p>
            <w:pPr>
              <w:widowControl/>
              <w:spacing w:line="410" w:lineRule="exact"/>
              <w:jc w:val="center"/>
              <w:rPr>
                <w:rFonts w:ascii="宋体" w:hAnsi="宋体" w:cs="宋体"/>
                <w:b/>
                <w:bCs/>
                <w:kern w:val="0"/>
                <w:szCs w:val="21"/>
              </w:rPr>
            </w:pPr>
            <w:r>
              <w:rPr>
                <w:rFonts w:hint="eastAsia" w:ascii="宋体" w:hAnsi="宋体" w:cs="宋体"/>
                <w:b/>
                <w:bCs/>
                <w:kern w:val="0"/>
                <w:szCs w:val="21"/>
              </w:rPr>
              <w:t>新农合支付</w:t>
            </w:r>
          </w:p>
        </w:tc>
        <w:tc>
          <w:tcPr>
            <w:tcW w:w="1203" w:type="dxa"/>
            <w:tcBorders>
              <w:top w:val="nil"/>
              <w:left w:val="nil"/>
              <w:bottom w:val="nil"/>
              <w:right w:val="nil"/>
            </w:tcBorders>
            <w:vAlign w:val="center"/>
          </w:tcPr>
          <w:p>
            <w:pPr>
              <w:widowControl/>
              <w:spacing w:line="410" w:lineRule="exact"/>
              <w:jc w:val="center"/>
              <w:rPr>
                <w:rFonts w:ascii="宋体" w:hAnsi="宋体" w:cs="宋体"/>
                <w:b/>
                <w:bCs/>
                <w:kern w:val="0"/>
                <w:szCs w:val="21"/>
              </w:rPr>
            </w:pPr>
            <w:r>
              <w:rPr>
                <w:rFonts w:hint="eastAsia" w:ascii="宋体" w:hAnsi="宋体" w:cs="宋体"/>
                <w:b/>
                <w:bCs/>
                <w:kern w:val="0"/>
                <w:szCs w:val="21"/>
              </w:rPr>
              <w:t>支付标准</w:t>
            </w:r>
          </w:p>
        </w:tc>
        <w:tc>
          <w:tcPr>
            <w:tcW w:w="1203" w:type="dxa"/>
            <w:tcBorders>
              <w:top w:val="nil"/>
              <w:left w:val="nil"/>
              <w:bottom w:val="nil"/>
              <w:right w:val="nil"/>
            </w:tcBorders>
            <w:vAlign w:val="center"/>
          </w:tcPr>
          <w:p>
            <w:pPr>
              <w:widowControl/>
              <w:spacing w:line="410" w:lineRule="exact"/>
              <w:jc w:val="center"/>
              <w:rPr>
                <w:rFonts w:ascii="宋体" w:hAnsi="宋体" w:cs="宋体"/>
                <w:b/>
                <w:bCs/>
                <w:kern w:val="0"/>
                <w:szCs w:val="21"/>
              </w:rPr>
            </w:pPr>
            <w:r>
              <w:rPr>
                <w:rFonts w:hint="eastAsia" w:ascii="宋体" w:hAnsi="宋体" w:cs="宋体"/>
                <w:b/>
                <w:bCs/>
                <w:kern w:val="0"/>
                <w:szCs w:val="21"/>
              </w:rPr>
              <w:t>新农合支付</w:t>
            </w:r>
          </w:p>
        </w:tc>
        <w:tc>
          <w:tcPr>
            <w:tcW w:w="1203" w:type="dxa"/>
            <w:tcBorders>
              <w:top w:val="nil"/>
              <w:left w:val="nil"/>
              <w:bottom w:val="nil"/>
              <w:right w:val="nil"/>
            </w:tcBorders>
            <w:vAlign w:val="center"/>
          </w:tcPr>
          <w:p>
            <w:pPr>
              <w:widowControl/>
              <w:spacing w:line="410" w:lineRule="exact"/>
              <w:jc w:val="center"/>
              <w:rPr>
                <w:rFonts w:ascii="宋体" w:hAnsi="宋体" w:cs="宋体"/>
                <w:b/>
                <w:bCs/>
                <w:kern w:val="0"/>
                <w:szCs w:val="21"/>
              </w:rPr>
            </w:pPr>
            <w:r>
              <w:rPr>
                <w:rFonts w:hint="eastAsia" w:ascii="宋体" w:hAnsi="宋体" w:cs="宋体"/>
                <w:b/>
                <w:bCs/>
                <w:kern w:val="0"/>
                <w:szCs w:val="21"/>
              </w:rPr>
              <w:t>支付标准</w:t>
            </w:r>
          </w:p>
        </w:tc>
        <w:tc>
          <w:tcPr>
            <w:tcW w:w="1203" w:type="dxa"/>
            <w:tcBorders>
              <w:top w:val="nil"/>
              <w:left w:val="nil"/>
              <w:bottom w:val="nil"/>
              <w:right w:val="nil"/>
            </w:tcBorders>
            <w:vAlign w:val="center"/>
          </w:tcPr>
          <w:p>
            <w:pPr>
              <w:widowControl/>
              <w:spacing w:line="410" w:lineRule="exact"/>
              <w:jc w:val="center"/>
              <w:rPr>
                <w:rFonts w:ascii="宋体" w:hAnsi="宋体" w:cs="宋体"/>
                <w:b/>
                <w:bCs/>
                <w:kern w:val="0"/>
                <w:szCs w:val="21"/>
              </w:rPr>
            </w:pPr>
            <w:r>
              <w:rPr>
                <w:rFonts w:hint="eastAsia" w:ascii="宋体" w:hAnsi="宋体" w:cs="宋体"/>
                <w:b/>
                <w:bCs/>
                <w:kern w:val="0"/>
                <w:szCs w:val="21"/>
              </w:rPr>
              <w:t>新农合支付</w:t>
            </w:r>
          </w:p>
        </w:tc>
      </w:tr>
      <w:tr>
        <w:tblPrEx>
          <w:tblLayout w:type="fixed"/>
          <w:tblCellMar>
            <w:top w:w="0" w:type="dxa"/>
            <w:left w:w="28" w:type="dxa"/>
            <w:bottom w:w="0" w:type="dxa"/>
            <w:right w:w="28" w:type="dxa"/>
          </w:tblCellMar>
        </w:tblPrEx>
        <w:trPr>
          <w:trHeight w:val="451" w:hRule="atLeast"/>
          <w:jc w:val="center"/>
        </w:trPr>
        <w:tc>
          <w:tcPr>
            <w:tcW w:w="1336" w:type="dxa"/>
            <w:tcBorders>
              <w:top w:val="nil"/>
              <w:left w:val="nil"/>
              <w:bottom w:val="single" w:color="auto" w:sz="4" w:space="0"/>
              <w:right w:val="nil"/>
            </w:tcBorders>
            <w:vAlign w:val="center"/>
          </w:tcPr>
          <w:p>
            <w:pPr>
              <w:widowControl/>
              <w:spacing w:line="410" w:lineRule="exact"/>
              <w:jc w:val="center"/>
              <w:rPr>
                <w:rFonts w:ascii="宋体" w:hAnsi="宋体"/>
                <w:bCs/>
                <w:kern w:val="0"/>
                <w:szCs w:val="21"/>
              </w:rPr>
            </w:pPr>
            <w:r>
              <w:rPr>
                <w:rFonts w:hint="eastAsia" w:ascii="宋体" w:hAnsi="宋体"/>
                <w:bCs/>
                <w:kern w:val="0"/>
                <w:szCs w:val="21"/>
              </w:rPr>
              <w:t>3.4</w:t>
            </w:r>
          </w:p>
        </w:tc>
        <w:tc>
          <w:tcPr>
            <w:tcW w:w="1336" w:type="dxa"/>
            <w:tcBorders>
              <w:top w:val="nil"/>
              <w:left w:val="nil"/>
              <w:bottom w:val="single" w:color="auto" w:sz="4" w:space="0"/>
              <w:right w:val="nil"/>
            </w:tcBorders>
            <w:vAlign w:val="center"/>
          </w:tcPr>
          <w:p>
            <w:pPr>
              <w:widowControl/>
              <w:spacing w:line="410" w:lineRule="exact"/>
              <w:jc w:val="center"/>
              <w:rPr>
                <w:rFonts w:ascii="宋体" w:hAnsi="宋体"/>
                <w:bCs/>
                <w:kern w:val="0"/>
                <w:szCs w:val="21"/>
              </w:rPr>
            </w:pPr>
            <w:r>
              <w:rPr>
                <w:rFonts w:hint="eastAsia" w:ascii="宋体" w:hAnsi="宋体"/>
                <w:bCs/>
                <w:kern w:val="0"/>
                <w:szCs w:val="21"/>
              </w:rPr>
              <w:t>2.38</w:t>
            </w:r>
          </w:p>
        </w:tc>
        <w:tc>
          <w:tcPr>
            <w:tcW w:w="1203" w:type="dxa"/>
            <w:tcBorders>
              <w:top w:val="nil"/>
              <w:left w:val="nil"/>
              <w:bottom w:val="single" w:color="auto" w:sz="4" w:space="0"/>
              <w:right w:val="nil"/>
            </w:tcBorders>
            <w:vAlign w:val="center"/>
          </w:tcPr>
          <w:p>
            <w:pPr>
              <w:widowControl/>
              <w:spacing w:line="410" w:lineRule="exact"/>
              <w:jc w:val="center"/>
              <w:rPr>
                <w:rFonts w:ascii="宋体" w:hAnsi="宋体"/>
                <w:bCs/>
                <w:kern w:val="0"/>
                <w:szCs w:val="21"/>
              </w:rPr>
            </w:pPr>
            <w:r>
              <w:rPr>
                <w:rFonts w:hint="eastAsia" w:ascii="宋体" w:hAnsi="宋体"/>
                <w:bCs/>
                <w:kern w:val="0"/>
                <w:szCs w:val="21"/>
              </w:rPr>
              <w:t>3.04</w:t>
            </w:r>
          </w:p>
        </w:tc>
        <w:tc>
          <w:tcPr>
            <w:tcW w:w="1203" w:type="dxa"/>
            <w:tcBorders>
              <w:top w:val="nil"/>
              <w:left w:val="nil"/>
              <w:bottom w:val="single" w:color="auto" w:sz="4" w:space="0"/>
              <w:right w:val="nil"/>
            </w:tcBorders>
            <w:vAlign w:val="center"/>
          </w:tcPr>
          <w:p>
            <w:pPr>
              <w:widowControl/>
              <w:spacing w:line="410" w:lineRule="exact"/>
              <w:jc w:val="center"/>
              <w:rPr>
                <w:rFonts w:ascii="宋体" w:hAnsi="宋体"/>
                <w:bCs/>
                <w:kern w:val="0"/>
                <w:szCs w:val="21"/>
              </w:rPr>
            </w:pPr>
            <w:r>
              <w:rPr>
                <w:rFonts w:hint="eastAsia" w:ascii="宋体" w:hAnsi="宋体"/>
                <w:bCs/>
                <w:kern w:val="0"/>
                <w:szCs w:val="21"/>
              </w:rPr>
              <w:t>2.13</w:t>
            </w:r>
          </w:p>
        </w:tc>
        <w:tc>
          <w:tcPr>
            <w:tcW w:w="1203" w:type="dxa"/>
            <w:tcBorders>
              <w:top w:val="nil"/>
              <w:left w:val="nil"/>
              <w:bottom w:val="single" w:color="auto" w:sz="4" w:space="0"/>
              <w:right w:val="nil"/>
            </w:tcBorders>
            <w:vAlign w:val="center"/>
          </w:tcPr>
          <w:p>
            <w:pPr>
              <w:widowControl/>
              <w:spacing w:line="410" w:lineRule="exact"/>
              <w:jc w:val="center"/>
              <w:rPr>
                <w:rFonts w:ascii="宋体" w:hAnsi="宋体"/>
                <w:bCs/>
                <w:kern w:val="0"/>
                <w:szCs w:val="21"/>
              </w:rPr>
            </w:pPr>
            <w:r>
              <w:rPr>
                <w:rFonts w:hint="eastAsia" w:ascii="宋体" w:hAnsi="宋体"/>
                <w:bCs/>
                <w:kern w:val="0"/>
                <w:szCs w:val="21"/>
              </w:rPr>
              <w:t>2.7</w:t>
            </w:r>
          </w:p>
        </w:tc>
        <w:tc>
          <w:tcPr>
            <w:tcW w:w="1203" w:type="dxa"/>
            <w:tcBorders>
              <w:top w:val="nil"/>
              <w:left w:val="nil"/>
              <w:bottom w:val="single" w:color="auto" w:sz="4" w:space="0"/>
              <w:right w:val="nil"/>
            </w:tcBorders>
            <w:vAlign w:val="center"/>
          </w:tcPr>
          <w:p>
            <w:pPr>
              <w:widowControl/>
              <w:spacing w:line="410" w:lineRule="exact"/>
              <w:jc w:val="center"/>
              <w:rPr>
                <w:rFonts w:ascii="宋体" w:hAnsi="宋体"/>
                <w:bCs/>
                <w:kern w:val="0"/>
                <w:szCs w:val="21"/>
              </w:rPr>
            </w:pPr>
            <w:r>
              <w:rPr>
                <w:rFonts w:hint="eastAsia" w:ascii="宋体" w:hAnsi="宋体"/>
                <w:bCs/>
                <w:kern w:val="0"/>
                <w:szCs w:val="21"/>
              </w:rPr>
              <w:t>2.03</w:t>
            </w:r>
          </w:p>
        </w:tc>
      </w:tr>
    </w:tbl>
    <w:p>
      <w:pPr>
        <w:adjustRightInd w:val="0"/>
        <w:snapToGrid w:val="0"/>
        <w:spacing w:line="430" w:lineRule="exact"/>
        <w:ind w:firstLine="480" w:firstLineChars="200"/>
        <w:rPr>
          <w:rFonts w:hint="eastAsia" w:ascii="黑体" w:hAnsi="宋体" w:eastAsia="黑体"/>
          <w:snapToGrid w:val="0"/>
          <w:color w:val="000000"/>
          <w:kern w:val="0"/>
          <w:sz w:val="24"/>
        </w:rPr>
      </w:pPr>
      <w:r>
        <w:rPr>
          <w:rFonts w:hint="eastAsia" w:ascii="黑体" w:hAnsi="宋体" w:eastAsia="黑体"/>
          <w:snapToGrid w:val="0"/>
          <w:color w:val="000000"/>
          <w:kern w:val="0"/>
          <w:sz w:val="24"/>
        </w:rPr>
        <w:t>六、乳腺癌</w:t>
      </w:r>
    </w:p>
    <w:p>
      <w:pPr>
        <w:adjustRightInd w:val="0"/>
        <w:snapToGrid w:val="0"/>
        <w:spacing w:line="430" w:lineRule="exact"/>
        <w:ind w:firstLine="480" w:firstLineChars="200"/>
        <w:rPr>
          <w:rFonts w:hint="eastAsia" w:ascii="方正楷体简体" w:hAnsi="宋体" w:eastAsia="方正楷体简体"/>
          <w:snapToGrid w:val="0"/>
          <w:color w:val="000000"/>
          <w:kern w:val="0"/>
          <w:sz w:val="24"/>
        </w:rPr>
      </w:pPr>
      <w:r>
        <w:rPr>
          <w:rFonts w:hint="eastAsia" w:ascii="方正楷体简体" w:hAnsi="宋体" w:eastAsia="方正楷体简体"/>
          <w:snapToGrid w:val="0"/>
          <w:color w:val="000000"/>
          <w:kern w:val="0"/>
          <w:sz w:val="24"/>
        </w:rPr>
        <w:t>（一）适用对象。</w:t>
      </w:r>
    </w:p>
    <w:p>
      <w:pPr>
        <w:adjustRightInd w:val="0"/>
        <w:snapToGrid w:val="0"/>
        <w:spacing w:line="430" w:lineRule="exact"/>
        <w:ind w:firstLine="480" w:firstLineChars="200"/>
        <w:rPr>
          <w:rFonts w:hint="eastAsia" w:ascii="宋体" w:hAnsi="宋体"/>
          <w:snapToGrid w:val="0"/>
          <w:color w:val="000000"/>
          <w:kern w:val="0"/>
          <w:sz w:val="24"/>
        </w:rPr>
      </w:pPr>
      <w:r>
        <w:rPr>
          <w:rFonts w:hint="eastAsia" w:ascii="宋体" w:hAnsi="宋体"/>
          <w:snapToGrid w:val="0"/>
          <w:color w:val="000000"/>
          <w:kern w:val="0"/>
          <w:sz w:val="24"/>
        </w:rPr>
        <w:t>乳腺癌改良根治术适用对象：</w:t>
      </w:r>
    </w:p>
    <w:p>
      <w:pPr>
        <w:adjustRightInd w:val="0"/>
        <w:snapToGrid w:val="0"/>
        <w:spacing w:line="430" w:lineRule="exact"/>
        <w:ind w:firstLine="480" w:firstLineChars="200"/>
        <w:rPr>
          <w:rFonts w:hint="eastAsia" w:ascii="宋体" w:hAnsi="宋体"/>
          <w:snapToGrid w:val="0"/>
          <w:color w:val="000000"/>
          <w:kern w:val="0"/>
          <w:sz w:val="24"/>
        </w:rPr>
      </w:pPr>
      <w:r>
        <w:rPr>
          <w:rFonts w:hint="eastAsia" w:ascii="宋体" w:hAnsi="宋体"/>
          <w:snapToGrid w:val="0"/>
          <w:color w:val="000000"/>
          <w:kern w:val="0"/>
          <w:sz w:val="24"/>
        </w:rPr>
        <w:t>1.以乳腺癌（ICD-10：C50</w:t>
      </w:r>
      <w:r>
        <w:rPr>
          <w:rFonts w:ascii="宋体" w:hAnsi="宋体"/>
          <w:snapToGrid w:val="0"/>
          <w:color w:val="000000"/>
          <w:kern w:val="0"/>
          <w:sz w:val="24"/>
        </w:rPr>
        <w:t>／D05</w:t>
      </w:r>
      <w:r>
        <w:rPr>
          <w:rFonts w:hint="eastAsia" w:ascii="宋体" w:hAnsi="宋体"/>
          <w:snapToGrid w:val="0"/>
          <w:color w:val="000000"/>
          <w:kern w:val="0"/>
          <w:sz w:val="24"/>
        </w:rPr>
        <w:t>）为第一诊断，行乳腺癌改良根治术（ICD-9-CM-3:85.43或85.44）的患者。</w:t>
      </w:r>
    </w:p>
    <w:p>
      <w:pPr>
        <w:adjustRightInd w:val="0"/>
        <w:snapToGrid w:val="0"/>
        <w:spacing w:line="430" w:lineRule="exact"/>
        <w:ind w:firstLine="480" w:firstLineChars="200"/>
        <w:rPr>
          <w:rFonts w:hint="eastAsia" w:ascii="宋体" w:hAnsi="宋体"/>
          <w:snapToGrid w:val="0"/>
          <w:color w:val="000000"/>
          <w:kern w:val="0"/>
          <w:sz w:val="24"/>
        </w:rPr>
      </w:pPr>
      <w:r>
        <w:rPr>
          <w:rFonts w:hint="eastAsia" w:ascii="宋体" w:hAnsi="宋体"/>
          <w:snapToGrid w:val="0"/>
          <w:color w:val="000000"/>
          <w:kern w:val="0"/>
          <w:sz w:val="24"/>
        </w:rPr>
        <w:t>2.可手术乳腺癌：0、I、</w:t>
      </w:r>
      <w:r>
        <w:rPr>
          <w:rFonts w:ascii="宋体" w:hAnsi="宋体"/>
          <w:snapToGrid w:val="0"/>
          <w:color w:val="000000"/>
          <w:kern w:val="0"/>
          <w:sz w:val="24"/>
        </w:rPr>
        <w:fldChar w:fldCharType="begin"/>
      </w:r>
      <w:r>
        <w:rPr>
          <w:rFonts w:ascii="宋体" w:hAnsi="宋体"/>
          <w:snapToGrid w:val="0"/>
          <w:color w:val="000000"/>
          <w:kern w:val="0"/>
          <w:sz w:val="24"/>
        </w:rPr>
        <w:instrText xml:space="preserve"> </w:instrText>
      </w:r>
      <w:r>
        <w:rPr>
          <w:rFonts w:hint="eastAsia" w:ascii="宋体" w:hAnsi="宋体"/>
          <w:snapToGrid w:val="0"/>
          <w:color w:val="000000"/>
          <w:kern w:val="0"/>
          <w:sz w:val="24"/>
        </w:rPr>
        <w:instrText xml:space="preserve">= 2 \* ROMAN</w:instrText>
      </w:r>
      <w:r>
        <w:rPr>
          <w:rFonts w:ascii="宋体" w:hAnsi="宋体"/>
          <w:snapToGrid w:val="0"/>
          <w:color w:val="000000"/>
          <w:kern w:val="0"/>
          <w:sz w:val="24"/>
        </w:rPr>
        <w:instrText xml:space="preserve"> </w:instrText>
      </w:r>
      <w:r>
        <w:rPr>
          <w:rFonts w:ascii="宋体" w:hAnsi="宋体"/>
          <w:snapToGrid w:val="0"/>
          <w:color w:val="000000"/>
          <w:kern w:val="0"/>
          <w:sz w:val="24"/>
        </w:rPr>
        <w:fldChar w:fldCharType="separate"/>
      </w:r>
      <w:r>
        <w:rPr>
          <w:rFonts w:ascii="宋体" w:hAnsi="宋体"/>
          <w:snapToGrid w:val="0"/>
          <w:color w:val="000000"/>
          <w:kern w:val="0"/>
          <w:sz w:val="24"/>
        </w:rPr>
        <w:t>II</w:t>
      </w:r>
      <w:r>
        <w:rPr>
          <w:rFonts w:ascii="宋体" w:hAnsi="宋体"/>
          <w:snapToGrid w:val="0"/>
          <w:color w:val="000000"/>
          <w:kern w:val="0"/>
          <w:sz w:val="24"/>
        </w:rPr>
        <w:fldChar w:fldCharType="end"/>
      </w:r>
      <w:r>
        <w:rPr>
          <w:rFonts w:hint="eastAsia" w:ascii="宋体" w:hAnsi="宋体"/>
          <w:snapToGrid w:val="0"/>
          <w:color w:val="000000"/>
          <w:kern w:val="0"/>
          <w:sz w:val="24"/>
        </w:rPr>
        <w:t>A（T</w:t>
      </w:r>
      <w:r>
        <w:rPr>
          <w:rFonts w:hint="eastAsia" w:ascii="宋体" w:hAnsi="宋体"/>
          <w:snapToGrid w:val="0"/>
          <w:color w:val="000000"/>
          <w:kern w:val="0"/>
          <w:sz w:val="24"/>
          <w:vertAlign w:val="subscript"/>
        </w:rPr>
        <w:t>2</w:t>
      </w:r>
      <w:r>
        <w:rPr>
          <w:rFonts w:hint="eastAsia" w:ascii="宋体" w:hAnsi="宋体"/>
          <w:snapToGrid w:val="0"/>
          <w:color w:val="000000"/>
          <w:kern w:val="0"/>
          <w:sz w:val="24"/>
        </w:rPr>
        <w:t>，N</w:t>
      </w:r>
      <w:r>
        <w:rPr>
          <w:rFonts w:hint="eastAsia" w:ascii="宋体" w:hAnsi="宋体"/>
          <w:snapToGrid w:val="0"/>
          <w:color w:val="000000"/>
          <w:kern w:val="0"/>
          <w:sz w:val="24"/>
          <w:vertAlign w:val="subscript"/>
        </w:rPr>
        <w:t>0</w:t>
      </w:r>
      <w:r>
        <w:rPr>
          <w:rFonts w:hint="eastAsia" w:ascii="宋体" w:hAnsi="宋体"/>
          <w:snapToGrid w:val="0"/>
          <w:color w:val="000000"/>
          <w:kern w:val="0"/>
          <w:sz w:val="24"/>
        </w:rPr>
        <w:t>，M</w:t>
      </w:r>
      <w:r>
        <w:rPr>
          <w:rFonts w:hint="eastAsia" w:ascii="宋体" w:hAnsi="宋体"/>
          <w:snapToGrid w:val="0"/>
          <w:color w:val="000000"/>
          <w:kern w:val="0"/>
          <w:sz w:val="24"/>
          <w:vertAlign w:val="subscript"/>
        </w:rPr>
        <w:t>0</w:t>
      </w:r>
      <w:r>
        <w:rPr>
          <w:rFonts w:hint="eastAsia" w:ascii="宋体" w:hAnsi="宋体"/>
          <w:snapToGrid w:val="0"/>
          <w:color w:val="000000"/>
          <w:kern w:val="0"/>
          <w:sz w:val="24"/>
        </w:rPr>
        <w:t>）、IIB（T</w:t>
      </w:r>
      <w:r>
        <w:rPr>
          <w:rFonts w:hint="eastAsia" w:ascii="宋体" w:hAnsi="宋体"/>
          <w:snapToGrid w:val="0"/>
          <w:color w:val="000000"/>
          <w:kern w:val="0"/>
          <w:sz w:val="24"/>
          <w:vertAlign w:val="subscript"/>
        </w:rPr>
        <w:t>2</w:t>
      </w:r>
      <w:r>
        <w:rPr>
          <w:rFonts w:hint="eastAsia" w:ascii="宋体" w:hAnsi="宋体"/>
          <w:snapToGrid w:val="0"/>
          <w:color w:val="000000"/>
          <w:kern w:val="0"/>
          <w:sz w:val="24"/>
        </w:rPr>
        <w:t>，N</w:t>
      </w:r>
      <w:r>
        <w:rPr>
          <w:rFonts w:hint="eastAsia" w:ascii="宋体" w:hAnsi="宋体"/>
          <w:snapToGrid w:val="0"/>
          <w:color w:val="000000"/>
          <w:kern w:val="0"/>
          <w:sz w:val="24"/>
          <w:vertAlign w:val="subscript"/>
        </w:rPr>
        <w:t>1</w:t>
      </w:r>
      <w:r>
        <w:rPr>
          <w:rFonts w:hint="eastAsia" w:ascii="宋体" w:hAnsi="宋体"/>
          <w:snapToGrid w:val="0"/>
          <w:color w:val="000000"/>
          <w:kern w:val="0"/>
          <w:sz w:val="24"/>
        </w:rPr>
        <w:t>，M</w:t>
      </w:r>
      <w:r>
        <w:rPr>
          <w:rFonts w:hint="eastAsia" w:ascii="宋体" w:hAnsi="宋体"/>
          <w:snapToGrid w:val="0"/>
          <w:color w:val="000000"/>
          <w:kern w:val="0"/>
          <w:sz w:val="24"/>
          <w:vertAlign w:val="subscript"/>
        </w:rPr>
        <w:t>0</w:t>
      </w:r>
      <w:r>
        <w:rPr>
          <w:rFonts w:hint="eastAsia" w:ascii="宋体" w:hAnsi="宋体"/>
          <w:snapToGrid w:val="0"/>
          <w:color w:val="000000"/>
          <w:kern w:val="0"/>
          <w:sz w:val="24"/>
        </w:rPr>
        <w:t>或T</w:t>
      </w:r>
      <w:r>
        <w:rPr>
          <w:rFonts w:hint="eastAsia" w:ascii="宋体" w:hAnsi="宋体"/>
          <w:snapToGrid w:val="0"/>
          <w:color w:val="000000"/>
          <w:kern w:val="0"/>
          <w:sz w:val="24"/>
          <w:vertAlign w:val="subscript"/>
        </w:rPr>
        <w:t>3</w:t>
      </w:r>
      <w:r>
        <w:rPr>
          <w:rFonts w:hint="eastAsia" w:ascii="宋体" w:hAnsi="宋体"/>
          <w:snapToGrid w:val="0"/>
          <w:color w:val="000000"/>
          <w:kern w:val="0"/>
          <w:sz w:val="24"/>
        </w:rPr>
        <w:t>，N</w:t>
      </w:r>
      <w:r>
        <w:rPr>
          <w:rFonts w:hint="eastAsia" w:ascii="宋体" w:hAnsi="宋体"/>
          <w:snapToGrid w:val="0"/>
          <w:color w:val="000000"/>
          <w:kern w:val="0"/>
          <w:sz w:val="24"/>
          <w:vertAlign w:val="subscript"/>
        </w:rPr>
        <w:t>0</w:t>
      </w:r>
      <w:r>
        <w:rPr>
          <w:rFonts w:hint="eastAsia" w:ascii="宋体" w:hAnsi="宋体"/>
          <w:snapToGrid w:val="0"/>
          <w:color w:val="000000"/>
          <w:kern w:val="0"/>
          <w:sz w:val="24"/>
        </w:rPr>
        <w:t>，M</w:t>
      </w:r>
      <w:r>
        <w:rPr>
          <w:rFonts w:hint="eastAsia" w:ascii="宋体" w:hAnsi="宋体"/>
          <w:snapToGrid w:val="0"/>
          <w:color w:val="000000"/>
          <w:kern w:val="0"/>
          <w:sz w:val="24"/>
          <w:vertAlign w:val="subscript"/>
        </w:rPr>
        <w:t>0</w:t>
      </w:r>
      <w:r>
        <w:rPr>
          <w:rFonts w:hint="eastAsia" w:ascii="宋体" w:hAnsi="宋体"/>
          <w:snapToGrid w:val="0"/>
          <w:color w:val="000000"/>
          <w:kern w:val="0"/>
          <w:sz w:val="24"/>
        </w:rPr>
        <w:t>）或</w:t>
      </w:r>
      <w:r>
        <w:rPr>
          <w:rFonts w:ascii="宋体" w:hAnsi="宋体"/>
          <w:snapToGrid w:val="0"/>
          <w:color w:val="000000"/>
          <w:kern w:val="0"/>
          <w:sz w:val="24"/>
        </w:rPr>
        <w:fldChar w:fldCharType="begin"/>
      </w:r>
      <w:r>
        <w:rPr>
          <w:rFonts w:ascii="宋体" w:hAnsi="宋体"/>
          <w:snapToGrid w:val="0"/>
          <w:color w:val="000000"/>
          <w:kern w:val="0"/>
          <w:sz w:val="24"/>
        </w:rPr>
        <w:instrText xml:space="preserve"> </w:instrText>
      </w:r>
      <w:r>
        <w:rPr>
          <w:rFonts w:hint="eastAsia" w:ascii="宋体" w:hAnsi="宋体"/>
          <w:snapToGrid w:val="0"/>
          <w:color w:val="000000"/>
          <w:kern w:val="0"/>
          <w:sz w:val="24"/>
        </w:rPr>
        <w:instrText xml:space="preserve">= 3 \* ROMAN</w:instrText>
      </w:r>
      <w:r>
        <w:rPr>
          <w:rFonts w:ascii="宋体" w:hAnsi="宋体"/>
          <w:snapToGrid w:val="0"/>
          <w:color w:val="000000"/>
          <w:kern w:val="0"/>
          <w:sz w:val="24"/>
        </w:rPr>
        <w:instrText xml:space="preserve"> </w:instrText>
      </w:r>
      <w:r>
        <w:rPr>
          <w:rFonts w:ascii="宋体" w:hAnsi="宋体"/>
          <w:snapToGrid w:val="0"/>
          <w:color w:val="000000"/>
          <w:kern w:val="0"/>
          <w:sz w:val="24"/>
        </w:rPr>
        <w:fldChar w:fldCharType="separate"/>
      </w:r>
      <w:r>
        <w:rPr>
          <w:rFonts w:ascii="宋体" w:hAnsi="宋体"/>
          <w:snapToGrid w:val="0"/>
          <w:color w:val="000000"/>
          <w:kern w:val="0"/>
          <w:sz w:val="24"/>
        </w:rPr>
        <w:t>III</w:t>
      </w:r>
      <w:r>
        <w:rPr>
          <w:rFonts w:ascii="宋体" w:hAnsi="宋体"/>
          <w:snapToGrid w:val="0"/>
          <w:color w:val="000000"/>
          <w:kern w:val="0"/>
          <w:sz w:val="24"/>
        </w:rPr>
        <w:fldChar w:fldCharType="end"/>
      </w:r>
      <w:r>
        <w:rPr>
          <w:rFonts w:hint="eastAsia" w:ascii="宋体" w:hAnsi="宋体"/>
          <w:snapToGrid w:val="0"/>
          <w:color w:val="000000"/>
          <w:kern w:val="0"/>
          <w:sz w:val="24"/>
        </w:rPr>
        <w:t>A（仅T</w:t>
      </w:r>
      <w:r>
        <w:rPr>
          <w:rFonts w:hint="eastAsia" w:ascii="宋体" w:hAnsi="宋体"/>
          <w:snapToGrid w:val="0"/>
          <w:color w:val="000000"/>
          <w:kern w:val="0"/>
          <w:sz w:val="24"/>
          <w:vertAlign w:val="subscript"/>
        </w:rPr>
        <w:t>3</w:t>
      </w:r>
      <w:r>
        <w:rPr>
          <w:rFonts w:hint="eastAsia" w:ascii="宋体" w:hAnsi="宋体"/>
          <w:snapToGrid w:val="0"/>
          <w:color w:val="000000"/>
          <w:kern w:val="0"/>
          <w:sz w:val="24"/>
        </w:rPr>
        <w:t>N</w:t>
      </w:r>
      <w:r>
        <w:rPr>
          <w:rFonts w:hint="eastAsia" w:ascii="宋体" w:hAnsi="宋体"/>
          <w:snapToGrid w:val="0"/>
          <w:color w:val="000000"/>
          <w:kern w:val="0"/>
          <w:sz w:val="24"/>
          <w:vertAlign w:val="subscript"/>
        </w:rPr>
        <w:t>1</w:t>
      </w:r>
      <w:r>
        <w:rPr>
          <w:rFonts w:hint="eastAsia" w:ascii="宋体" w:hAnsi="宋体"/>
          <w:snapToGrid w:val="0"/>
          <w:color w:val="000000"/>
          <w:kern w:val="0"/>
          <w:sz w:val="24"/>
        </w:rPr>
        <w:t>M</w:t>
      </w:r>
      <w:r>
        <w:rPr>
          <w:rFonts w:hint="eastAsia" w:ascii="宋体" w:hAnsi="宋体"/>
          <w:snapToGrid w:val="0"/>
          <w:color w:val="000000"/>
          <w:kern w:val="0"/>
          <w:sz w:val="24"/>
          <w:vertAlign w:val="subscript"/>
        </w:rPr>
        <w:t>0</w:t>
      </w:r>
      <w:r>
        <w:rPr>
          <w:rFonts w:hint="eastAsia" w:ascii="宋体" w:hAnsi="宋体"/>
          <w:snapToGrid w:val="0"/>
          <w:color w:val="000000"/>
          <w:kern w:val="0"/>
          <w:sz w:val="24"/>
        </w:rPr>
        <w:t>）期的乳腺癌。</w:t>
      </w:r>
    </w:p>
    <w:p>
      <w:pPr>
        <w:adjustRightInd w:val="0"/>
        <w:snapToGrid w:val="0"/>
        <w:spacing w:line="430" w:lineRule="exact"/>
        <w:ind w:firstLine="480" w:firstLineChars="200"/>
        <w:rPr>
          <w:rFonts w:hint="eastAsia" w:ascii="宋体" w:hAnsi="宋体"/>
          <w:snapToGrid w:val="0"/>
          <w:color w:val="000000"/>
          <w:kern w:val="0"/>
          <w:sz w:val="24"/>
        </w:rPr>
      </w:pPr>
      <w:r>
        <w:rPr>
          <w:rFonts w:hint="eastAsia" w:ascii="宋体" w:hAnsi="宋体"/>
          <w:snapToGrid w:val="0"/>
          <w:color w:val="000000"/>
          <w:kern w:val="0"/>
          <w:sz w:val="24"/>
        </w:rPr>
        <w:t>乳腺癌保留乳房手术适用对象：</w:t>
      </w:r>
    </w:p>
    <w:p>
      <w:pPr>
        <w:adjustRightInd w:val="0"/>
        <w:snapToGrid w:val="0"/>
        <w:spacing w:line="430" w:lineRule="exact"/>
        <w:ind w:firstLine="480" w:firstLineChars="200"/>
        <w:rPr>
          <w:rFonts w:hint="eastAsia" w:ascii="宋体" w:hAnsi="宋体"/>
          <w:snapToGrid w:val="0"/>
          <w:color w:val="000000"/>
          <w:kern w:val="0"/>
          <w:sz w:val="24"/>
        </w:rPr>
      </w:pPr>
      <w:r>
        <w:rPr>
          <w:rFonts w:hint="eastAsia" w:ascii="宋体" w:hAnsi="宋体"/>
          <w:snapToGrid w:val="0"/>
          <w:color w:val="000000"/>
          <w:kern w:val="0"/>
          <w:sz w:val="24"/>
        </w:rPr>
        <w:t>1.以乳腺癌（ICD-10：C50</w:t>
      </w:r>
      <w:r>
        <w:rPr>
          <w:rFonts w:ascii="宋体" w:hAnsi="宋体"/>
          <w:snapToGrid w:val="0"/>
          <w:color w:val="000000"/>
          <w:kern w:val="0"/>
          <w:sz w:val="24"/>
        </w:rPr>
        <w:t>／D05</w:t>
      </w:r>
      <w:r>
        <w:rPr>
          <w:rFonts w:hint="eastAsia" w:ascii="宋体" w:hAnsi="宋体"/>
          <w:snapToGrid w:val="0"/>
          <w:color w:val="000000"/>
          <w:kern w:val="0"/>
          <w:sz w:val="24"/>
        </w:rPr>
        <w:t>）为第一诊断，行乳腺癌保留乳房手术（ICD-9-CM-3:85.21或85.22或85.23，以下简称保乳手术）的患者。</w:t>
      </w:r>
    </w:p>
    <w:p>
      <w:pPr>
        <w:adjustRightInd w:val="0"/>
        <w:snapToGrid w:val="0"/>
        <w:spacing w:line="430" w:lineRule="exact"/>
        <w:ind w:firstLine="480" w:firstLineChars="200"/>
        <w:rPr>
          <w:rFonts w:ascii="宋体" w:hAnsi="宋体"/>
          <w:snapToGrid w:val="0"/>
          <w:color w:val="000000"/>
          <w:kern w:val="0"/>
          <w:sz w:val="24"/>
        </w:rPr>
      </w:pPr>
      <w:r>
        <w:rPr>
          <w:rFonts w:hint="eastAsia" w:ascii="宋体" w:hAnsi="宋体"/>
          <w:snapToGrid w:val="0"/>
          <w:color w:val="000000"/>
          <w:kern w:val="0"/>
          <w:sz w:val="24"/>
        </w:rPr>
        <w:t>2.可手术乳腺癌0、Ⅰ、部分Ⅱ期患者，及部分Ⅱ、III期（炎性乳腺癌除外）经新辅助化疗降期患者。</w:t>
      </w:r>
    </w:p>
    <w:p>
      <w:pPr>
        <w:adjustRightInd w:val="0"/>
        <w:snapToGrid w:val="0"/>
        <w:spacing w:line="430" w:lineRule="exact"/>
        <w:ind w:firstLine="480" w:firstLineChars="200"/>
        <w:rPr>
          <w:rFonts w:ascii="宋体" w:hAnsi="宋体"/>
          <w:snapToGrid w:val="0"/>
          <w:color w:val="000000"/>
          <w:kern w:val="0"/>
          <w:sz w:val="24"/>
        </w:rPr>
      </w:pPr>
      <w:r>
        <w:rPr>
          <w:rFonts w:hint="eastAsia" w:ascii="宋体" w:hAnsi="宋体"/>
          <w:snapToGrid w:val="0"/>
          <w:color w:val="000000"/>
          <w:kern w:val="0"/>
          <w:sz w:val="24"/>
        </w:rPr>
        <w:t>在定点医疗机构实施手术治疗发生的费用，纳入新农合重大疾病按病种付费范围。</w:t>
      </w:r>
    </w:p>
    <w:p>
      <w:pPr>
        <w:adjustRightInd w:val="0"/>
        <w:snapToGrid w:val="0"/>
        <w:spacing w:line="430" w:lineRule="exact"/>
        <w:ind w:firstLine="480" w:firstLineChars="200"/>
        <w:rPr>
          <w:rFonts w:hint="eastAsia" w:ascii="方正楷体简体" w:hAnsi="宋体" w:eastAsia="方正楷体简体"/>
          <w:snapToGrid w:val="0"/>
          <w:color w:val="000000"/>
          <w:kern w:val="0"/>
          <w:sz w:val="24"/>
        </w:rPr>
      </w:pPr>
      <w:r>
        <w:rPr>
          <w:rFonts w:hint="eastAsia" w:ascii="方正楷体简体" w:hAnsi="宋体" w:eastAsia="方正楷体简体"/>
          <w:snapToGrid w:val="0"/>
          <w:color w:val="000000"/>
          <w:kern w:val="0"/>
          <w:sz w:val="24"/>
        </w:rPr>
        <w:t>（二）支付条件。</w:t>
      </w:r>
    </w:p>
    <w:p>
      <w:pPr>
        <w:adjustRightInd w:val="0"/>
        <w:snapToGrid w:val="0"/>
        <w:spacing w:line="430" w:lineRule="exact"/>
        <w:ind w:firstLine="480" w:firstLineChars="200"/>
        <w:rPr>
          <w:rFonts w:ascii="宋体" w:hAnsi="宋体"/>
          <w:snapToGrid w:val="0"/>
          <w:color w:val="000000"/>
          <w:kern w:val="0"/>
          <w:sz w:val="24"/>
        </w:rPr>
      </w:pPr>
      <w:r>
        <w:rPr>
          <w:rFonts w:hint="eastAsia" w:ascii="宋体" w:hAnsi="宋体"/>
          <w:snapToGrid w:val="0"/>
          <w:color w:val="000000"/>
          <w:kern w:val="0"/>
          <w:sz w:val="24"/>
        </w:rPr>
        <w:t>治疗过程需按照</w:t>
      </w:r>
      <w:r>
        <w:rPr>
          <w:rFonts w:hint="eastAsia" w:ascii="宋体" w:hAnsi="宋体" w:cs="宋体"/>
          <w:bCs/>
          <w:snapToGrid w:val="0"/>
          <w:color w:val="000000"/>
          <w:kern w:val="0"/>
          <w:sz w:val="24"/>
        </w:rPr>
        <w:t>《</w:t>
      </w:r>
      <w:r>
        <w:rPr>
          <w:rFonts w:hint="eastAsia" w:ascii="宋体" w:hAnsi="宋体"/>
          <w:snapToGrid w:val="0"/>
          <w:color w:val="000000"/>
          <w:kern w:val="0"/>
          <w:sz w:val="24"/>
        </w:rPr>
        <w:t>乳腺癌改良根治术临床</w:t>
      </w:r>
      <w:r>
        <w:rPr>
          <w:rFonts w:hint="eastAsia" w:ascii="宋体" w:hAnsi="宋体" w:cs="宋体"/>
          <w:bCs/>
          <w:snapToGrid w:val="0"/>
          <w:color w:val="000000"/>
          <w:kern w:val="0"/>
          <w:sz w:val="24"/>
        </w:rPr>
        <w:t>路径（2012版）》、《</w:t>
      </w:r>
      <w:r>
        <w:rPr>
          <w:rFonts w:hint="eastAsia" w:ascii="宋体" w:hAnsi="宋体"/>
          <w:snapToGrid w:val="0"/>
          <w:color w:val="000000"/>
          <w:kern w:val="0"/>
          <w:sz w:val="24"/>
        </w:rPr>
        <w:t>乳腺癌保留乳房手术临床路径（2012版）</w:t>
      </w:r>
      <w:r>
        <w:rPr>
          <w:rFonts w:hint="eastAsia" w:ascii="宋体" w:hAnsi="宋体" w:cs="宋体"/>
          <w:bCs/>
          <w:snapToGrid w:val="0"/>
          <w:color w:val="000000"/>
          <w:kern w:val="0"/>
          <w:sz w:val="24"/>
        </w:rPr>
        <w:t>》</w:t>
      </w:r>
      <w:r>
        <w:rPr>
          <w:rFonts w:hint="eastAsia" w:ascii="宋体" w:hAnsi="宋体"/>
          <w:snapToGrid w:val="0"/>
          <w:color w:val="000000"/>
          <w:kern w:val="0"/>
          <w:sz w:val="24"/>
        </w:rPr>
        <w:t>执行，方可实行按病种付费。</w:t>
      </w:r>
    </w:p>
    <w:p>
      <w:pPr>
        <w:adjustRightInd w:val="0"/>
        <w:snapToGrid w:val="0"/>
        <w:spacing w:line="430" w:lineRule="exact"/>
        <w:ind w:firstLine="480" w:firstLineChars="200"/>
        <w:rPr>
          <w:rFonts w:hint="eastAsia" w:ascii="方正楷体简体" w:hAnsi="宋体" w:eastAsia="方正楷体简体"/>
          <w:snapToGrid w:val="0"/>
          <w:color w:val="000000"/>
          <w:kern w:val="0"/>
          <w:sz w:val="24"/>
        </w:rPr>
      </w:pPr>
      <w:r>
        <w:rPr>
          <w:rFonts w:hint="eastAsia" w:ascii="方正楷体简体" w:hAnsi="宋体" w:eastAsia="方正楷体简体"/>
          <w:snapToGrid w:val="0"/>
          <w:color w:val="000000"/>
          <w:kern w:val="0"/>
          <w:sz w:val="24"/>
        </w:rPr>
        <w:t>（三）支付标准。</w:t>
      </w:r>
    </w:p>
    <w:p>
      <w:pPr>
        <w:pStyle w:val="5"/>
        <w:adjustRightInd w:val="0"/>
        <w:snapToGrid w:val="0"/>
        <w:spacing w:line="430" w:lineRule="exact"/>
        <w:ind w:firstLine="480"/>
        <w:rPr>
          <w:rFonts w:hint="eastAsia" w:ascii="宋体" w:hAnsi="宋体"/>
          <w:snapToGrid w:val="0"/>
          <w:color w:val="000000"/>
          <w:kern w:val="0"/>
          <w:sz w:val="24"/>
        </w:rPr>
      </w:pPr>
      <w:r>
        <w:rPr>
          <w:rFonts w:hint="eastAsia" w:ascii="宋体" w:hAnsi="宋体"/>
          <w:snapToGrid w:val="0"/>
          <w:color w:val="000000"/>
          <w:kern w:val="0"/>
          <w:sz w:val="24"/>
        </w:rPr>
        <w:t>支付的费用包括患者每次住院期间发生的费用（含术后1个周期的化疗）。医院应按照定额支付标准收取费用，其中三级医院相应标准的70%，二级医院相应标准的75%由新农合基金支付。</w:t>
      </w:r>
    </w:p>
    <w:p>
      <w:pPr>
        <w:spacing w:line="430" w:lineRule="exact"/>
        <w:jc w:val="center"/>
        <w:rPr>
          <w:rFonts w:hint="eastAsia" w:ascii="宋体" w:hAnsi="宋体"/>
          <w:sz w:val="24"/>
        </w:rPr>
      </w:pPr>
      <w:r>
        <w:rPr>
          <w:rFonts w:hint="eastAsia" w:ascii="宋体" w:hAnsi="宋体"/>
          <w:sz w:val="24"/>
        </w:rPr>
        <w:t>表6  乳腺癌住院治疗费用的定额支付标准</w:t>
      </w:r>
    </w:p>
    <w:tbl>
      <w:tblPr>
        <w:tblStyle w:val="4"/>
        <w:tblW w:w="7484" w:type="dxa"/>
        <w:jc w:val="center"/>
        <w:tblInd w:w="0" w:type="dxa"/>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037"/>
        <w:gridCol w:w="1074"/>
        <w:gridCol w:w="1075"/>
        <w:gridCol w:w="1074"/>
        <w:gridCol w:w="1075"/>
        <w:gridCol w:w="1074"/>
        <w:gridCol w:w="1075"/>
      </w:tblGrid>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77" w:hRule="atLeast"/>
          <w:jc w:val="center"/>
        </w:trPr>
        <w:tc>
          <w:tcPr>
            <w:tcW w:w="1037" w:type="dxa"/>
            <w:tcBorders>
              <w:top w:val="single" w:color="auto" w:sz="4" w:space="0"/>
              <w:bottom w:val="single" w:color="auto" w:sz="4" w:space="0"/>
            </w:tcBorders>
            <w:vAlign w:val="center"/>
          </w:tcPr>
          <w:p>
            <w:pPr>
              <w:widowControl/>
              <w:spacing w:line="410" w:lineRule="exact"/>
              <w:jc w:val="center"/>
              <w:rPr>
                <w:rFonts w:ascii="宋体" w:hAnsi="宋体" w:cs="宋体"/>
                <w:kern w:val="0"/>
                <w:szCs w:val="21"/>
              </w:rPr>
            </w:pPr>
          </w:p>
        </w:tc>
        <w:tc>
          <w:tcPr>
            <w:tcW w:w="2149" w:type="dxa"/>
            <w:gridSpan w:val="2"/>
            <w:tcBorders>
              <w:top w:val="single" w:color="auto" w:sz="4" w:space="0"/>
              <w:bottom w:val="single" w:color="auto" w:sz="4" w:space="0"/>
            </w:tcBorders>
            <w:vAlign w:val="center"/>
          </w:tcPr>
          <w:p>
            <w:pPr>
              <w:widowControl/>
              <w:spacing w:line="410" w:lineRule="exact"/>
              <w:jc w:val="center"/>
              <w:rPr>
                <w:rFonts w:ascii="宋体" w:hAnsi="宋体" w:cs="宋体"/>
                <w:b/>
                <w:bCs/>
                <w:kern w:val="0"/>
                <w:szCs w:val="21"/>
              </w:rPr>
            </w:pPr>
            <w:r>
              <w:rPr>
                <w:rFonts w:hint="eastAsia" w:ascii="宋体" w:hAnsi="宋体" w:cs="宋体"/>
                <w:b/>
                <w:bCs/>
                <w:kern w:val="0"/>
                <w:szCs w:val="21"/>
              </w:rPr>
              <w:t>省级定点救治医院（万元）</w:t>
            </w:r>
          </w:p>
        </w:tc>
        <w:tc>
          <w:tcPr>
            <w:tcW w:w="2149" w:type="dxa"/>
            <w:gridSpan w:val="2"/>
            <w:tcBorders>
              <w:top w:val="single" w:color="auto" w:sz="4" w:space="0"/>
              <w:bottom w:val="single" w:color="auto" w:sz="4" w:space="0"/>
            </w:tcBorders>
            <w:vAlign w:val="center"/>
          </w:tcPr>
          <w:p>
            <w:pPr>
              <w:widowControl/>
              <w:spacing w:line="410" w:lineRule="exact"/>
              <w:jc w:val="center"/>
              <w:rPr>
                <w:rFonts w:hint="eastAsia" w:ascii="宋体" w:hAnsi="宋体" w:cs="宋体"/>
                <w:b/>
                <w:bCs/>
                <w:kern w:val="0"/>
                <w:szCs w:val="21"/>
              </w:rPr>
            </w:pPr>
            <w:r>
              <w:rPr>
                <w:rFonts w:hint="eastAsia" w:ascii="宋体" w:hAnsi="宋体" w:cs="宋体"/>
                <w:b/>
                <w:bCs/>
                <w:kern w:val="0"/>
                <w:szCs w:val="21"/>
              </w:rPr>
              <w:t>三级医院</w:t>
            </w:r>
          </w:p>
          <w:p>
            <w:pPr>
              <w:widowControl/>
              <w:spacing w:line="410" w:lineRule="exact"/>
              <w:jc w:val="center"/>
              <w:rPr>
                <w:rFonts w:ascii="宋体" w:hAnsi="宋体" w:cs="宋体"/>
                <w:b/>
                <w:bCs/>
                <w:kern w:val="0"/>
                <w:szCs w:val="21"/>
              </w:rPr>
            </w:pPr>
            <w:r>
              <w:rPr>
                <w:rFonts w:hint="eastAsia" w:ascii="宋体" w:hAnsi="宋体" w:cs="宋体"/>
                <w:b/>
                <w:bCs/>
                <w:kern w:val="0"/>
                <w:szCs w:val="21"/>
              </w:rPr>
              <w:t>（万元）</w:t>
            </w:r>
          </w:p>
        </w:tc>
        <w:tc>
          <w:tcPr>
            <w:tcW w:w="2149" w:type="dxa"/>
            <w:gridSpan w:val="2"/>
            <w:tcBorders>
              <w:top w:val="single" w:color="auto" w:sz="4" w:space="0"/>
              <w:bottom w:val="single" w:color="auto" w:sz="4" w:space="0"/>
            </w:tcBorders>
            <w:vAlign w:val="center"/>
          </w:tcPr>
          <w:p>
            <w:pPr>
              <w:widowControl/>
              <w:spacing w:line="410" w:lineRule="exact"/>
              <w:jc w:val="center"/>
              <w:rPr>
                <w:rFonts w:ascii="宋体" w:hAnsi="宋体" w:cs="宋体"/>
                <w:b/>
                <w:bCs/>
                <w:kern w:val="0"/>
                <w:szCs w:val="21"/>
              </w:rPr>
            </w:pPr>
            <w:r>
              <w:rPr>
                <w:rFonts w:hint="eastAsia" w:ascii="宋体" w:hAnsi="宋体" w:cs="宋体"/>
                <w:b/>
                <w:bCs/>
                <w:kern w:val="0"/>
                <w:szCs w:val="21"/>
              </w:rPr>
              <w:t>二级医院（万元）</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10" w:hRule="atLeast"/>
          <w:jc w:val="center"/>
        </w:trPr>
        <w:tc>
          <w:tcPr>
            <w:tcW w:w="1037" w:type="dxa"/>
            <w:tcBorders>
              <w:top w:val="single" w:color="auto" w:sz="4" w:space="0"/>
            </w:tcBorders>
            <w:vAlign w:val="center"/>
          </w:tcPr>
          <w:p>
            <w:pPr>
              <w:widowControl/>
              <w:spacing w:line="410" w:lineRule="exact"/>
              <w:jc w:val="center"/>
              <w:rPr>
                <w:rFonts w:hint="eastAsia" w:ascii="宋体" w:hAnsi="宋体" w:cs="宋体"/>
                <w:b/>
                <w:bCs/>
                <w:kern w:val="0"/>
                <w:szCs w:val="21"/>
              </w:rPr>
            </w:pPr>
            <w:r>
              <w:rPr>
                <w:rFonts w:hint="eastAsia" w:ascii="宋体" w:hAnsi="宋体" w:cs="宋体"/>
                <w:b/>
                <w:bCs/>
                <w:kern w:val="0"/>
                <w:szCs w:val="21"/>
              </w:rPr>
              <w:t>手术</w:t>
            </w:r>
          </w:p>
          <w:p>
            <w:pPr>
              <w:widowControl/>
              <w:spacing w:line="410" w:lineRule="exact"/>
              <w:jc w:val="center"/>
              <w:rPr>
                <w:rFonts w:ascii="宋体" w:hAnsi="宋体" w:cs="宋体"/>
                <w:b/>
                <w:bCs/>
                <w:kern w:val="0"/>
                <w:szCs w:val="21"/>
              </w:rPr>
            </w:pPr>
            <w:r>
              <w:rPr>
                <w:rFonts w:hint="eastAsia" w:ascii="宋体" w:hAnsi="宋体" w:cs="宋体"/>
                <w:b/>
                <w:bCs/>
                <w:kern w:val="0"/>
                <w:szCs w:val="21"/>
              </w:rPr>
              <w:t>方式</w:t>
            </w:r>
          </w:p>
        </w:tc>
        <w:tc>
          <w:tcPr>
            <w:tcW w:w="1074" w:type="dxa"/>
            <w:tcBorders>
              <w:top w:val="single" w:color="auto" w:sz="4" w:space="0"/>
            </w:tcBorders>
            <w:vAlign w:val="center"/>
          </w:tcPr>
          <w:p>
            <w:pPr>
              <w:widowControl/>
              <w:spacing w:line="410" w:lineRule="exact"/>
              <w:jc w:val="center"/>
              <w:rPr>
                <w:rFonts w:ascii="宋体" w:hAnsi="宋体" w:cs="宋体"/>
                <w:b/>
                <w:bCs/>
                <w:kern w:val="0"/>
                <w:szCs w:val="21"/>
              </w:rPr>
            </w:pPr>
            <w:r>
              <w:rPr>
                <w:rFonts w:hint="eastAsia" w:ascii="宋体" w:hAnsi="宋体" w:cs="宋体"/>
                <w:b/>
                <w:bCs/>
                <w:kern w:val="0"/>
                <w:szCs w:val="21"/>
              </w:rPr>
              <w:t>支付标准</w:t>
            </w:r>
          </w:p>
        </w:tc>
        <w:tc>
          <w:tcPr>
            <w:tcW w:w="1075" w:type="dxa"/>
            <w:tcBorders>
              <w:top w:val="single" w:color="auto" w:sz="4" w:space="0"/>
            </w:tcBorders>
            <w:vAlign w:val="center"/>
          </w:tcPr>
          <w:p>
            <w:pPr>
              <w:widowControl/>
              <w:spacing w:line="410" w:lineRule="exact"/>
              <w:jc w:val="center"/>
              <w:rPr>
                <w:rFonts w:hint="eastAsia" w:ascii="宋体" w:hAnsi="宋体" w:cs="宋体"/>
                <w:b/>
                <w:bCs/>
                <w:kern w:val="0"/>
                <w:szCs w:val="21"/>
              </w:rPr>
            </w:pPr>
            <w:r>
              <w:rPr>
                <w:rFonts w:hint="eastAsia" w:ascii="宋体" w:hAnsi="宋体" w:cs="宋体"/>
                <w:b/>
                <w:bCs/>
                <w:kern w:val="0"/>
                <w:szCs w:val="21"/>
              </w:rPr>
              <w:t>新农合</w:t>
            </w:r>
          </w:p>
          <w:p>
            <w:pPr>
              <w:widowControl/>
              <w:spacing w:line="410" w:lineRule="exact"/>
              <w:jc w:val="center"/>
              <w:rPr>
                <w:rFonts w:ascii="宋体" w:hAnsi="宋体" w:cs="宋体"/>
                <w:b/>
                <w:bCs/>
                <w:kern w:val="0"/>
                <w:szCs w:val="21"/>
              </w:rPr>
            </w:pPr>
            <w:r>
              <w:rPr>
                <w:rFonts w:hint="eastAsia" w:ascii="宋体" w:hAnsi="宋体" w:cs="宋体"/>
                <w:b/>
                <w:bCs/>
                <w:kern w:val="0"/>
                <w:szCs w:val="21"/>
              </w:rPr>
              <w:t>支付</w:t>
            </w:r>
          </w:p>
        </w:tc>
        <w:tc>
          <w:tcPr>
            <w:tcW w:w="1074" w:type="dxa"/>
            <w:tcBorders>
              <w:top w:val="single" w:color="auto" w:sz="4" w:space="0"/>
            </w:tcBorders>
            <w:vAlign w:val="center"/>
          </w:tcPr>
          <w:p>
            <w:pPr>
              <w:widowControl/>
              <w:spacing w:line="410" w:lineRule="exact"/>
              <w:jc w:val="center"/>
              <w:rPr>
                <w:rFonts w:ascii="宋体" w:hAnsi="宋体" w:cs="宋体"/>
                <w:b/>
                <w:bCs/>
                <w:kern w:val="0"/>
                <w:szCs w:val="21"/>
              </w:rPr>
            </w:pPr>
            <w:r>
              <w:rPr>
                <w:rFonts w:hint="eastAsia" w:ascii="宋体" w:hAnsi="宋体" w:cs="宋体"/>
                <w:b/>
                <w:bCs/>
                <w:kern w:val="0"/>
                <w:szCs w:val="21"/>
              </w:rPr>
              <w:t>支付标准</w:t>
            </w:r>
          </w:p>
        </w:tc>
        <w:tc>
          <w:tcPr>
            <w:tcW w:w="1075" w:type="dxa"/>
            <w:tcBorders>
              <w:top w:val="single" w:color="auto" w:sz="4" w:space="0"/>
            </w:tcBorders>
            <w:vAlign w:val="center"/>
          </w:tcPr>
          <w:p>
            <w:pPr>
              <w:widowControl/>
              <w:spacing w:line="410" w:lineRule="exact"/>
              <w:jc w:val="center"/>
              <w:rPr>
                <w:rFonts w:hint="eastAsia" w:ascii="宋体" w:hAnsi="宋体" w:cs="宋体"/>
                <w:b/>
                <w:bCs/>
                <w:kern w:val="0"/>
                <w:szCs w:val="21"/>
              </w:rPr>
            </w:pPr>
            <w:r>
              <w:rPr>
                <w:rFonts w:hint="eastAsia" w:ascii="宋体" w:hAnsi="宋体" w:cs="宋体"/>
                <w:b/>
                <w:bCs/>
                <w:kern w:val="0"/>
                <w:szCs w:val="21"/>
              </w:rPr>
              <w:t>新农合</w:t>
            </w:r>
          </w:p>
          <w:p>
            <w:pPr>
              <w:widowControl/>
              <w:spacing w:line="410" w:lineRule="exact"/>
              <w:jc w:val="center"/>
              <w:rPr>
                <w:rFonts w:ascii="宋体" w:hAnsi="宋体" w:cs="宋体"/>
                <w:b/>
                <w:bCs/>
                <w:kern w:val="0"/>
                <w:szCs w:val="21"/>
              </w:rPr>
            </w:pPr>
            <w:r>
              <w:rPr>
                <w:rFonts w:hint="eastAsia" w:ascii="宋体" w:hAnsi="宋体" w:cs="宋体"/>
                <w:b/>
                <w:bCs/>
                <w:kern w:val="0"/>
                <w:szCs w:val="21"/>
              </w:rPr>
              <w:t>支付</w:t>
            </w:r>
          </w:p>
        </w:tc>
        <w:tc>
          <w:tcPr>
            <w:tcW w:w="1074" w:type="dxa"/>
            <w:tcBorders>
              <w:top w:val="single" w:color="auto" w:sz="4" w:space="0"/>
            </w:tcBorders>
            <w:vAlign w:val="center"/>
          </w:tcPr>
          <w:p>
            <w:pPr>
              <w:widowControl/>
              <w:spacing w:line="410" w:lineRule="exact"/>
              <w:jc w:val="center"/>
              <w:rPr>
                <w:rFonts w:ascii="宋体" w:hAnsi="宋体" w:cs="宋体"/>
                <w:b/>
                <w:bCs/>
                <w:kern w:val="0"/>
                <w:szCs w:val="21"/>
              </w:rPr>
            </w:pPr>
            <w:r>
              <w:rPr>
                <w:rFonts w:hint="eastAsia" w:ascii="宋体" w:hAnsi="宋体" w:cs="宋体"/>
                <w:b/>
                <w:bCs/>
                <w:kern w:val="0"/>
                <w:szCs w:val="21"/>
              </w:rPr>
              <w:t>支付标准</w:t>
            </w:r>
          </w:p>
        </w:tc>
        <w:tc>
          <w:tcPr>
            <w:tcW w:w="1075" w:type="dxa"/>
            <w:tcBorders>
              <w:top w:val="single" w:color="auto" w:sz="4" w:space="0"/>
            </w:tcBorders>
            <w:vAlign w:val="center"/>
          </w:tcPr>
          <w:p>
            <w:pPr>
              <w:widowControl/>
              <w:spacing w:line="410" w:lineRule="exact"/>
              <w:jc w:val="center"/>
              <w:rPr>
                <w:rFonts w:hint="eastAsia" w:ascii="宋体" w:hAnsi="宋体" w:cs="宋体"/>
                <w:b/>
                <w:bCs/>
                <w:kern w:val="0"/>
                <w:szCs w:val="21"/>
              </w:rPr>
            </w:pPr>
            <w:r>
              <w:rPr>
                <w:rFonts w:hint="eastAsia" w:ascii="宋体" w:hAnsi="宋体" w:cs="宋体"/>
                <w:b/>
                <w:bCs/>
                <w:kern w:val="0"/>
                <w:szCs w:val="21"/>
              </w:rPr>
              <w:t>新农合</w:t>
            </w:r>
          </w:p>
          <w:p>
            <w:pPr>
              <w:widowControl/>
              <w:spacing w:line="410" w:lineRule="exact"/>
              <w:jc w:val="center"/>
              <w:rPr>
                <w:rFonts w:ascii="宋体" w:hAnsi="宋体" w:cs="宋体"/>
                <w:b/>
                <w:bCs/>
                <w:kern w:val="0"/>
                <w:szCs w:val="21"/>
              </w:rPr>
            </w:pPr>
            <w:r>
              <w:rPr>
                <w:rFonts w:hint="eastAsia" w:ascii="宋体" w:hAnsi="宋体" w:cs="宋体"/>
                <w:b/>
                <w:bCs/>
                <w:kern w:val="0"/>
                <w:szCs w:val="21"/>
              </w:rPr>
              <w:t>支付</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10" w:hRule="atLeast"/>
          <w:jc w:val="center"/>
        </w:trPr>
        <w:tc>
          <w:tcPr>
            <w:tcW w:w="1037" w:type="dxa"/>
            <w:vAlign w:val="center"/>
          </w:tcPr>
          <w:p>
            <w:pPr>
              <w:widowControl/>
              <w:spacing w:line="410" w:lineRule="exact"/>
              <w:jc w:val="center"/>
              <w:rPr>
                <w:rFonts w:ascii="宋体" w:hAnsi="宋体" w:cs="宋体"/>
                <w:b/>
                <w:bCs/>
                <w:kern w:val="0"/>
                <w:szCs w:val="21"/>
              </w:rPr>
            </w:pPr>
            <w:r>
              <w:rPr>
                <w:rFonts w:hint="eastAsia" w:ascii="宋体" w:hAnsi="宋体" w:cs="宋体"/>
                <w:b/>
                <w:bCs/>
                <w:kern w:val="0"/>
                <w:szCs w:val="21"/>
              </w:rPr>
              <w:t>改良根治术</w:t>
            </w:r>
          </w:p>
        </w:tc>
        <w:tc>
          <w:tcPr>
            <w:tcW w:w="1074" w:type="dxa"/>
            <w:vAlign w:val="center"/>
          </w:tcPr>
          <w:p>
            <w:pPr>
              <w:widowControl/>
              <w:spacing w:line="410" w:lineRule="exact"/>
              <w:jc w:val="center"/>
              <w:rPr>
                <w:rFonts w:ascii="宋体" w:hAnsi="宋体"/>
                <w:bCs/>
                <w:kern w:val="0"/>
                <w:szCs w:val="21"/>
              </w:rPr>
            </w:pPr>
            <w:r>
              <w:rPr>
                <w:rFonts w:ascii="宋体" w:hAnsi="宋体"/>
                <w:bCs/>
                <w:kern w:val="0"/>
                <w:szCs w:val="21"/>
              </w:rPr>
              <w:t>2.</w:t>
            </w:r>
            <w:r>
              <w:rPr>
                <w:rFonts w:hint="eastAsia" w:ascii="宋体" w:hAnsi="宋体"/>
                <w:bCs/>
                <w:kern w:val="0"/>
                <w:szCs w:val="21"/>
              </w:rPr>
              <w:t>3</w:t>
            </w:r>
          </w:p>
        </w:tc>
        <w:tc>
          <w:tcPr>
            <w:tcW w:w="1075" w:type="dxa"/>
            <w:vAlign w:val="center"/>
          </w:tcPr>
          <w:p>
            <w:pPr>
              <w:widowControl/>
              <w:spacing w:line="410" w:lineRule="exact"/>
              <w:jc w:val="center"/>
              <w:rPr>
                <w:rFonts w:ascii="宋体" w:hAnsi="宋体"/>
                <w:bCs/>
                <w:kern w:val="0"/>
                <w:szCs w:val="21"/>
              </w:rPr>
            </w:pPr>
            <w:r>
              <w:rPr>
                <w:rFonts w:ascii="宋体" w:hAnsi="宋体"/>
                <w:bCs/>
                <w:kern w:val="0"/>
                <w:szCs w:val="21"/>
              </w:rPr>
              <w:t>1.</w:t>
            </w:r>
            <w:r>
              <w:rPr>
                <w:rFonts w:hint="eastAsia" w:ascii="宋体" w:hAnsi="宋体"/>
                <w:bCs/>
                <w:kern w:val="0"/>
                <w:szCs w:val="21"/>
              </w:rPr>
              <w:t>61</w:t>
            </w:r>
          </w:p>
        </w:tc>
        <w:tc>
          <w:tcPr>
            <w:tcW w:w="1074" w:type="dxa"/>
            <w:vAlign w:val="center"/>
          </w:tcPr>
          <w:p>
            <w:pPr>
              <w:widowControl/>
              <w:spacing w:line="410" w:lineRule="exact"/>
              <w:jc w:val="center"/>
              <w:rPr>
                <w:rFonts w:ascii="宋体" w:hAnsi="宋体"/>
                <w:kern w:val="0"/>
                <w:szCs w:val="21"/>
              </w:rPr>
            </w:pPr>
            <w:r>
              <w:rPr>
                <w:rFonts w:hint="eastAsia" w:ascii="宋体" w:hAnsi="宋体"/>
                <w:kern w:val="0"/>
                <w:szCs w:val="21"/>
              </w:rPr>
              <w:t>2.19</w:t>
            </w:r>
          </w:p>
        </w:tc>
        <w:tc>
          <w:tcPr>
            <w:tcW w:w="1075" w:type="dxa"/>
            <w:vAlign w:val="center"/>
          </w:tcPr>
          <w:p>
            <w:pPr>
              <w:widowControl/>
              <w:spacing w:line="410" w:lineRule="exact"/>
              <w:jc w:val="center"/>
              <w:rPr>
                <w:rFonts w:ascii="宋体" w:hAnsi="宋体"/>
                <w:kern w:val="0"/>
                <w:szCs w:val="21"/>
              </w:rPr>
            </w:pPr>
            <w:r>
              <w:rPr>
                <w:rFonts w:hint="eastAsia" w:ascii="宋体" w:hAnsi="宋体"/>
                <w:kern w:val="0"/>
                <w:szCs w:val="21"/>
              </w:rPr>
              <w:t>1.53</w:t>
            </w:r>
          </w:p>
        </w:tc>
        <w:tc>
          <w:tcPr>
            <w:tcW w:w="1074" w:type="dxa"/>
            <w:vAlign w:val="center"/>
          </w:tcPr>
          <w:p>
            <w:pPr>
              <w:widowControl/>
              <w:spacing w:line="410" w:lineRule="exact"/>
              <w:jc w:val="center"/>
              <w:rPr>
                <w:rFonts w:ascii="宋体" w:hAnsi="宋体"/>
                <w:kern w:val="0"/>
                <w:szCs w:val="21"/>
              </w:rPr>
            </w:pPr>
            <w:r>
              <w:rPr>
                <w:rFonts w:ascii="宋体" w:hAnsi="宋体"/>
                <w:kern w:val="0"/>
                <w:szCs w:val="21"/>
              </w:rPr>
              <w:t>2.0</w:t>
            </w:r>
          </w:p>
        </w:tc>
        <w:tc>
          <w:tcPr>
            <w:tcW w:w="1075" w:type="dxa"/>
            <w:vAlign w:val="center"/>
          </w:tcPr>
          <w:p>
            <w:pPr>
              <w:widowControl/>
              <w:spacing w:line="410" w:lineRule="exact"/>
              <w:jc w:val="center"/>
              <w:rPr>
                <w:rFonts w:ascii="宋体" w:hAnsi="宋体"/>
                <w:kern w:val="0"/>
                <w:szCs w:val="21"/>
              </w:rPr>
            </w:pPr>
            <w:r>
              <w:rPr>
                <w:rFonts w:ascii="宋体" w:hAnsi="宋体"/>
                <w:kern w:val="0"/>
                <w:szCs w:val="21"/>
              </w:rPr>
              <w:t>1.50</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6" w:hRule="atLeast"/>
          <w:jc w:val="center"/>
        </w:trPr>
        <w:tc>
          <w:tcPr>
            <w:tcW w:w="1037" w:type="dxa"/>
            <w:tcBorders>
              <w:bottom w:val="single" w:color="auto" w:sz="4" w:space="0"/>
            </w:tcBorders>
            <w:vAlign w:val="center"/>
          </w:tcPr>
          <w:p>
            <w:pPr>
              <w:widowControl/>
              <w:spacing w:line="410" w:lineRule="exact"/>
              <w:jc w:val="center"/>
              <w:rPr>
                <w:rFonts w:ascii="宋体" w:hAnsi="宋体" w:cs="宋体"/>
                <w:b/>
                <w:bCs/>
                <w:kern w:val="0"/>
                <w:szCs w:val="21"/>
              </w:rPr>
            </w:pPr>
            <w:r>
              <w:rPr>
                <w:rFonts w:hint="eastAsia" w:ascii="宋体" w:hAnsi="宋体" w:cs="宋体"/>
                <w:b/>
                <w:bCs/>
                <w:kern w:val="0"/>
                <w:szCs w:val="21"/>
              </w:rPr>
              <w:t>保乳术</w:t>
            </w:r>
          </w:p>
        </w:tc>
        <w:tc>
          <w:tcPr>
            <w:tcW w:w="1074" w:type="dxa"/>
            <w:tcBorders>
              <w:bottom w:val="single" w:color="auto" w:sz="4" w:space="0"/>
            </w:tcBorders>
            <w:vAlign w:val="center"/>
          </w:tcPr>
          <w:p>
            <w:pPr>
              <w:widowControl/>
              <w:spacing w:line="410" w:lineRule="exact"/>
              <w:jc w:val="center"/>
              <w:rPr>
                <w:rFonts w:ascii="宋体" w:hAnsi="宋体"/>
                <w:bCs/>
                <w:kern w:val="0"/>
                <w:szCs w:val="21"/>
              </w:rPr>
            </w:pPr>
            <w:r>
              <w:rPr>
                <w:rFonts w:ascii="宋体" w:hAnsi="宋体"/>
                <w:bCs/>
                <w:kern w:val="0"/>
                <w:szCs w:val="21"/>
              </w:rPr>
              <w:t>2.</w:t>
            </w:r>
            <w:r>
              <w:rPr>
                <w:rFonts w:hint="eastAsia" w:ascii="宋体" w:hAnsi="宋体"/>
                <w:bCs/>
                <w:kern w:val="0"/>
                <w:szCs w:val="21"/>
              </w:rPr>
              <w:t>1</w:t>
            </w:r>
          </w:p>
        </w:tc>
        <w:tc>
          <w:tcPr>
            <w:tcW w:w="1075" w:type="dxa"/>
            <w:tcBorders>
              <w:bottom w:val="single" w:color="auto" w:sz="4" w:space="0"/>
            </w:tcBorders>
            <w:vAlign w:val="center"/>
          </w:tcPr>
          <w:p>
            <w:pPr>
              <w:widowControl/>
              <w:spacing w:line="410" w:lineRule="exact"/>
              <w:jc w:val="center"/>
              <w:rPr>
                <w:rFonts w:ascii="宋体" w:hAnsi="宋体"/>
                <w:bCs/>
                <w:kern w:val="0"/>
                <w:szCs w:val="21"/>
              </w:rPr>
            </w:pPr>
            <w:r>
              <w:rPr>
                <w:rFonts w:ascii="宋体" w:hAnsi="宋体"/>
                <w:bCs/>
                <w:kern w:val="0"/>
                <w:szCs w:val="21"/>
              </w:rPr>
              <w:t>1.</w:t>
            </w:r>
            <w:r>
              <w:rPr>
                <w:rFonts w:hint="eastAsia" w:ascii="宋体" w:hAnsi="宋体"/>
                <w:bCs/>
                <w:kern w:val="0"/>
                <w:szCs w:val="21"/>
              </w:rPr>
              <w:t>47</w:t>
            </w:r>
          </w:p>
        </w:tc>
        <w:tc>
          <w:tcPr>
            <w:tcW w:w="1074" w:type="dxa"/>
            <w:tcBorders>
              <w:bottom w:val="single" w:color="auto" w:sz="4" w:space="0"/>
            </w:tcBorders>
            <w:vAlign w:val="center"/>
          </w:tcPr>
          <w:p>
            <w:pPr>
              <w:widowControl/>
              <w:spacing w:line="410" w:lineRule="exact"/>
              <w:jc w:val="center"/>
              <w:rPr>
                <w:rFonts w:ascii="宋体" w:hAnsi="宋体"/>
                <w:kern w:val="0"/>
                <w:szCs w:val="21"/>
              </w:rPr>
            </w:pPr>
            <w:r>
              <w:rPr>
                <w:rFonts w:hint="eastAsia" w:ascii="宋体" w:hAnsi="宋体"/>
                <w:kern w:val="0"/>
                <w:szCs w:val="21"/>
              </w:rPr>
              <w:t>2.0</w:t>
            </w:r>
          </w:p>
        </w:tc>
        <w:tc>
          <w:tcPr>
            <w:tcW w:w="1075" w:type="dxa"/>
            <w:tcBorders>
              <w:bottom w:val="single" w:color="auto" w:sz="4" w:space="0"/>
            </w:tcBorders>
            <w:vAlign w:val="center"/>
          </w:tcPr>
          <w:p>
            <w:pPr>
              <w:widowControl/>
              <w:spacing w:line="410" w:lineRule="exact"/>
              <w:jc w:val="center"/>
              <w:rPr>
                <w:rFonts w:ascii="宋体" w:hAnsi="宋体"/>
                <w:kern w:val="0"/>
                <w:szCs w:val="21"/>
              </w:rPr>
            </w:pPr>
            <w:r>
              <w:rPr>
                <w:rFonts w:hint="eastAsia" w:ascii="宋体" w:hAnsi="宋体"/>
                <w:kern w:val="0"/>
                <w:szCs w:val="21"/>
              </w:rPr>
              <w:t>1.40</w:t>
            </w:r>
          </w:p>
        </w:tc>
        <w:tc>
          <w:tcPr>
            <w:tcW w:w="1074" w:type="dxa"/>
            <w:tcBorders>
              <w:bottom w:val="single" w:color="auto" w:sz="4" w:space="0"/>
            </w:tcBorders>
            <w:vAlign w:val="center"/>
          </w:tcPr>
          <w:p>
            <w:pPr>
              <w:widowControl/>
              <w:spacing w:line="410" w:lineRule="exact"/>
              <w:jc w:val="center"/>
              <w:rPr>
                <w:rFonts w:ascii="宋体" w:hAnsi="宋体"/>
                <w:kern w:val="0"/>
                <w:szCs w:val="21"/>
              </w:rPr>
            </w:pPr>
            <w:r>
              <w:rPr>
                <w:rFonts w:ascii="宋体" w:hAnsi="宋体"/>
                <w:kern w:val="0"/>
                <w:szCs w:val="21"/>
              </w:rPr>
              <w:t>1.8</w:t>
            </w:r>
          </w:p>
        </w:tc>
        <w:tc>
          <w:tcPr>
            <w:tcW w:w="1075" w:type="dxa"/>
            <w:tcBorders>
              <w:bottom w:val="single" w:color="auto" w:sz="4" w:space="0"/>
            </w:tcBorders>
            <w:vAlign w:val="center"/>
          </w:tcPr>
          <w:p>
            <w:pPr>
              <w:widowControl/>
              <w:spacing w:line="410" w:lineRule="exact"/>
              <w:jc w:val="center"/>
              <w:rPr>
                <w:rFonts w:ascii="宋体" w:hAnsi="宋体"/>
                <w:kern w:val="0"/>
                <w:szCs w:val="21"/>
              </w:rPr>
            </w:pPr>
            <w:r>
              <w:rPr>
                <w:rFonts w:ascii="宋体" w:hAnsi="宋体"/>
                <w:kern w:val="0"/>
                <w:szCs w:val="21"/>
              </w:rPr>
              <w:t>1.35</w:t>
            </w:r>
          </w:p>
        </w:tc>
      </w:tr>
    </w:tbl>
    <w:p>
      <w:pPr>
        <w:adjustRightInd w:val="0"/>
        <w:snapToGrid w:val="0"/>
        <w:spacing w:line="430" w:lineRule="exact"/>
        <w:ind w:firstLine="480" w:firstLineChars="200"/>
        <w:rPr>
          <w:rFonts w:hint="eastAsia" w:ascii="黑体" w:hAnsi="宋体" w:eastAsia="黑体"/>
          <w:snapToGrid w:val="0"/>
          <w:color w:val="000000"/>
          <w:kern w:val="0"/>
          <w:sz w:val="24"/>
        </w:rPr>
      </w:pPr>
      <w:r>
        <w:rPr>
          <w:rFonts w:hint="eastAsia" w:ascii="黑体" w:hAnsi="宋体" w:eastAsia="黑体"/>
          <w:snapToGrid w:val="0"/>
          <w:color w:val="000000"/>
          <w:kern w:val="0"/>
          <w:sz w:val="24"/>
        </w:rPr>
        <w:t>七、食道癌</w:t>
      </w:r>
    </w:p>
    <w:p>
      <w:pPr>
        <w:adjustRightInd w:val="0"/>
        <w:snapToGrid w:val="0"/>
        <w:spacing w:line="430" w:lineRule="exact"/>
        <w:ind w:firstLine="480" w:firstLineChars="200"/>
        <w:outlineLvl w:val="0"/>
        <w:rPr>
          <w:rFonts w:hint="eastAsia" w:ascii="方正楷体简体" w:hAnsi="宋体" w:eastAsia="方正楷体简体"/>
          <w:snapToGrid w:val="0"/>
          <w:color w:val="000000"/>
          <w:kern w:val="0"/>
          <w:sz w:val="24"/>
        </w:rPr>
      </w:pPr>
      <w:r>
        <w:rPr>
          <w:rFonts w:hint="eastAsia" w:ascii="方正楷体简体" w:hAnsi="宋体" w:eastAsia="方正楷体简体"/>
          <w:snapToGrid w:val="0"/>
          <w:color w:val="000000"/>
          <w:kern w:val="0"/>
          <w:sz w:val="24"/>
        </w:rPr>
        <w:t>（一）适用对象。</w:t>
      </w:r>
    </w:p>
    <w:p>
      <w:pPr>
        <w:adjustRightInd w:val="0"/>
        <w:snapToGrid w:val="0"/>
        <w:spacing w:line="430" w:lineRule="exact"/>
        <w:ind w:firstLine="480" w:firstLineChars="200"/>
        <w:rPr>
          <w:rFonts w:ascii="宋体" w:hAnsi="宋体"/>
          <w:snapToGrid w:val="0"/>
          <w:color w:val="000000"/>
          <w:kern w:val="0"/>
          <w:sz w:val="24"/>
        </w:rPr>
      </w:pPr>
      <w:r>
        <w:rPr>
          <w:rFonts w:hint="eastAsia" w:ascii="宋体" w:hAnsi="宋体"/>
          <w:snapToGrid w:val="0"/>
          <w:color w:val="000000"/>
          <w:kern w:val="0"/>
          <w:sz w:val="24"/>
        </w:rPr>
        <w:t>以食管癌为第一诊断，行食管癌切除消化道重建术的患者，在定点医疗机构实施手术治疗发生的费用，纳入新农合重大疾病按病种付费范围。</w:t>
      </w:r>
    </w:p>
    <w:p>
      <w:pPr>
        <w:adjustRightInd w:val="0"/>
        <w:snapToGrid w:val="0"/>
        <w:spacing w:line="430" w:lineRule="exact"/>
        <w:ind w:firstLine="480" w:firstLineChars="200"/>
        <w:outlineLvl w:val="0"/>
        <w:rPr>
          <w:rFonts w:hint="eastAsia" w:ascii="方正楷体简体" w:hAnsi="宋体" w:eastAsia="方正楷体简体"/>
          <w:snapToGrid w:val="0"/>
          <w:color w:val="000000"/>
          <w:kern w:val="0"/>
          <w:sz w:val="24"/>
        </w:rPr>
      </w:pPr>
      <w:r>
        <w:rPr>
          <w:rFonts w:hint="eastAsia" w:ascii="方正楷体简体" w:hAnsi="宋体" w:eastAsia="方正楷体简体"/>
          <w:snapToGrid w:val="0"/>
          <w:color w:val="000000"/>
          <w:kern w:val="0"/>
          <w:sz w:val="24"/>
        </w:rPr>
        <w:t>（二）支付条件。</w:t>
      </w:r>
    </w:p>
    <w:p>
      <w:pPr>
        <w:adjustRightInd w:val="0"/>
        <w:snapToGrid w:val="0"/>
        <w:spacing w:line="430" w:lineRule="exact"/>
        <w:ind w:firstLine="480" w:firstLineChars="200"/>
        <w:rPr>
          <w:rFonts w:ascii="宋体" w:hAnsi="宋体"/>
          <w:snapToGrid w:val="0"/>
          <w:color w:val="000000"/>
          <w:kern w:val="0"/>
          <w:sz w:val="24"/>
        </w:rPr>
      </w:pPr>
      <w:r>
        <w:rPr>
          <w:rFonts w:hint="eastAsia" w:ascii="宋体" w:hAnsi="宋体"/>
          <w:snapToGrid w:val="0"/>
          <w:color w:val="000000"/>
          <w:kern w:val="0"/>
          <w:sz w:val="24"/>
        </w:rPr>
        <w:t>治疗过程需严格按照《</w:t>
      </w:r>
      <w:r>
        <w:rPr>
          <w:rFonts w:ascii="宋体" w:hAnsi="宋体"/>
          <w:snapToGrid w:val="0"/>
          <w:color w:val="000000"/>
          <w:kern w:val="0"/>
          <w:sz w:val="24"/>
        </w:rPr>
        <w:t>食管癌</w:t>
      </w:r>
      <w:r>
        <w:rPr>
          <w:rFonts w:hint="eastAsia" w:ascii="宋体" w:hAnsi="宋体"/>
          <w:snapToGrid w:val="0"/>
          <w:color w:val="000000"/>
          <w:kern w:val="0"/>
          <w:sz w:val="24"/>
        </w:rPr>
        <w:t>手术治疗</w:t>
      </w:r>
      <w:r>
        <w:rPr>
          <w:rFonts w:ascii="宋体" w:hAnsi="宋体"/>
          <w:snapToGrid w:val="0"/>
          <w:color w:val="000000"/>
          <w:kern w:val="0"/>
          <w:sz w:val="24"/>
        </w:rPr>
        <w:t>临床路径(20</w:t>
      </w:r>
      <w:r>
        <w:rPr>
          <w:rFonts w:hint="eastAsia" w:ascii="宋体" w:hAnsi="宋体"/>
          <w:snapToGrid w:val="0"/>
          <w:color w:val="000000"/>
          <w:kern w:val="0"/>
          <w:sz w:val="24"/>
        </w:rPr>
        <w:t>12</w:t>
      </w:r>
      <w:r>
        <w:rPr>
          <w:rFonts w:ascii="宋体" w:hAnsi="宋体"/>
          <w:snapToGrid w:val="0"/>
          <w:color w:val="000000"/>
          <w:kern w:val="0"/>
          <w:sz w:val="24"/>
        </w:rPr>
        <w:t>年版)</w:t>
      </w:r>
      <w:r>
        <w:rPr>
          <w:rFonts w:hint="eastAsia" w:ascii="宋体" w:hAnsi="宋体"/>
          <w:snapToGrid w:val="0"/>
          <w:color w:val="000000"/>
          <w:kern w:val="0"/>
          <w:sz w:val="24"/>
        </w:rPr>
        <w:t>》执行，方可实行按病种付费。</w:t>
      </w:r>
    </w:p>
    <w:p>
      <w:pPr>
        <w:adjustRightInd w:val="0"/>
        <w:snapToGrid w:val="0"/>
        <w:spacing w:line="430" w:lineRule="exact"/>
        <w:ind w:firstLine="480" w:firstLineChars="200"/>
        <w:outlineLvl w:val="0"/>
        <w:rPr>
          <w:rFonts w:hint="eastAsia" w:ascii="方正楷体简体" w:hAnsi="宋体" w:eastAsia="方正楷体简体"/>
          <w:snapToGrid w:val="0"/>
          <w:color w:val="000000"/>
          <w:kern w:val="0"/>
          <w:sz w:val="24"/>
        </w:rPr>
      </w:pPr>
      <w:r>
        <w:rPr>
          <w:rFonts w:hint="eastAsia" w:ascii="方正楷体简体" w:hAnsi="宋体" w:eastAsia="方正楷体简体"/>
          <w:snapToGrid w:val="0"/>
          <w:color w:val="000000"/>
          <w:kern w:val="0"/>
          <w:sz w:val="24"/>
        </w:rPr>
        <w:t>（三）支付标准。</w:t>
      </w:r>
    </w:p>
    <w:p>
      <w:pPr>
        <w:adjustRightInd w:val="0"/>
        <w:snapToGrid w:val="0"/>
        <w:spacing w:line="430" w:lineRule="exact"/>
        <w:ind w:firstLine="480" w:firstLineChars="200"/>
        <w:rPr>
          <w:rFonts w:hint="eastAsia" w:ascii="宋体" w:hAnsi="宋体"/>
          <w:snapToGrid w:val="0"/>
          <w:color w:val="000000"/>
          <w:kern w:val="0"/>
          <w:sz w:val="24"/>
        </w:rPr>
      </w:pPr>
      <w:r>
        <w:rPr>
          <w:rFonts w:hint="eastAsia" w:ascii="宋体" w:hAnsi="宋体"/>
          <w:snapToGrid w:val="0"/>
          <w:color w:val="000000"/>
          <w:kern w:val="0"/>
          <w:sz w:val="24"/>
        </w:rPr>
        <w:t xml:space="preserve">支付的费用包括患者每次住院期间发生的费用（含术后1个周期的化疗）。医院应按照定额支付标准收取费用，其中三级医院相应标准的70%，二级医院相应标准的75%由新农合基金支付。 </w:t>
      </w:r>
    </w:p>
    <w:p>
      <w:pPr>
        <w:adjustRightInd w:val="0"/>
        <w:snapToGrid w:val="0"/>
        <w:spacing w:line="430" w:lineRule="exact"/>
        <w:ind w:firstLine="480" w:firstLineChars="200"/>
        <w:rPr>
          <w:rFonts w:hint="eastAsia" w:ascii="宋体" w:hAnsi="宋体"/>
          <w:snapToGrid w:val="0"/>
          <w:color w:val="000000"/>
          <w:kern w:val="0"/>
          <w:sz w:val="24"/>
        </w:rPr>
      </w:pPr>
    </w:p>
    <w:p>
      <w:pPr>
        <w:adjustRightInd w:val="0"/>
        <w:snapToGrid w:val="0"/>
        <w:spacing w:line="430" w:lineRule="exact"/>
        <w:ind w:firstLine="480" w:firstLineChars="200"/>
        <w:rPr>
          <w:rFonts w:ascii="宋体" w:hAnsi="宋体"/>
          <w:sz w:val="24"/>
        </w:rPr>
      </w:pPr>
    </w:p>
    <w:p>
      <w:pPr>
        <w:pStyle w:val="5"/>
        <w:spacing w:line="430" w:lineRule="exact"/>
        <w:ind w:firstLine="0" w:firstLineChars="0"/>
        <w:jc w:val="center"/>
        <w:rPr>
          <w:rFonts w:hint="eastAsia" w:ascii="宋体" w:hAnsi="宋体"/>
          <w:szCs w:val="21"/>
        </w:rPr>
      </w:pPr>
      <w:r>
        <w:rPr>
          <w:rFonts w:hint="eastAsia" w:ascii="宋体" w:hAnsi="宋体"/>
          <w:sz w:val="24"/>
        </w:rPr>
        <w:t>表7  食道癌住院治疗费用的定额支付标准</w:t>
      </w:r>
    </w:p>
    <w:tbl>
      <w:tblPr>
        <w:tblStyle w:val="4"/>
        <w:tblW w:w="7484" w:type="dxa"/>
        <w:jc w:val="center"/>
        <w:tblInd w:w="0" w:type="dxa"/>
        <w:tblLayout w:type="fixed"/>
        <w:tblCellMar>
          <w:top w:w="0" w:type="dxa"/>
          <w:left w:w="28" w:type="dxa"/>
          <w:bottom w:w="0" w:type="dxa"/>
          <w:right w:w="28" w:type="dxa"/>
        </w:tblCellMar>
      </w:tblPr>
      <w:tblGrid>
        <w:gridCol w:w="1336"/>
        <w:gridCol w:w="1336"/>
        <w:gridCol w:w="1203"/>
        <w:gridCol w:w="1203"/>
        <w:gridCol w:w="1203"/>
        <w:gridCol w:w="1203"/>
      </w:tblGrid>
      <w:tr>
        <w:tblPrEx>
          <w:tblLayout w:type="fixed"/>
          <w:tblCellMar>
            <w:top w:w="0" w:type="dxa"/>
            <w:left w:w="28" w:type="dxa"/>
            <w:bottom w:w="0" w:type="dxa"/>
            <w:right w:w="28" w:type="dxa"/>
          </w:tblCellMar>
        </w:tblPrEx>
        <w:trPr>
          <w:trHeight w:val="450" w:hRule="atLeast"/>
          <w:jc w:val="center"/>
        </w:trPr>
        <w:tc>
          <w:tcPr>
            <w:tcW w:w="2672" w:type="dxa"/>
            <w:gridSpan w:val="2"/>
            <w:tcBorders>
              <w:top w:val="single" w:color="auto" w:sz="4" w:space="0"/>
              <w:left w:val="nil"/>
              <w:bottom w:val="single" w:color="auto" w:sz="4" w:space="0"/>
              <w:right w:val="nil"/>
            </w:tcBorders>
            <w:vAlign w:val="center"/>
          </w:tcPr>
          <w:p>
            <w:pPr>
              <w:widowControl/>
              <w:spacing w:line="410" w:lineRule="exact"/>
              <w:rPr>
                <w:rFonts w:ascii="宋体" w:hAnsi="宋体" w:cs="宋体"/>
                <w:b/>
                <w:bCs/>
                <w:kern w:val="0"/>
                <w:szCs w:val="21"/>
              </w:rPr>
            </w:pPr>
            <w:r>
              <w:rPr>
                <w:rFonts w:hint="eastAsia" w:ascii="宋体" w:hAnsi="宋体" w:cs="宋体"/>
                <w:b/>
                <w:bCs/>
                <w:kern w:val="0"/>
                <w:szCs w:val="21"/>
              </w:rPr>
              <w:t>省级定点救治医院（万元）</w:t>
            </w:r>
          </w:p>
        </w:tc>
        <w:tc>
          <w:tcPr>
            <w:tcW w:w="2406" w:type="dxa"/>
            <w:gridSpan w:val="2"/>
            <w:tcBorders>
              <w:top w:val="single" w:color="auto" w:sz="4" w:space="0"/>
              <w:left w:val="nil"/>
              <w:bottom w:val="single" w:color="auto" w:sz="4" w:space="0"/>
              <w:right w:val="nil"/>
            </w:tcBorders>
            <w:vAlign w:val="center"/>
          </w:tcPr>
          <w:p>
            <w:pPr>
              <w:widowControl/>
              <w:spacing w:line="410" w:lineRule="exact"/>
              <w:jc w:val="center"/>
              <w:rPr>
                <w:rFonts w:ascii="宋体" w:hAnsi="宋体" w:cs="宋体"/>
                <w:b/>
                <w:bCs/>
                <w:kern w:val="0"/>
                <w:szCs w:val="21"/>
              </w:rPr>
            </w:pPr>
            <w:r>
              <w:rPr>
                <w:rFonts w:hint="eastAsia" w:ascii="宋体" w:hAnsi="宋体" w:cs="宋体"/>
                <w:b/>
                <w:bCs/>
                <w:kern w:val="0"/>
                <w:szCs w:val="21"/>
              </w:rPr>
              <w:t>三级医院（万元）</w:t>
            </w:r>
          </w:p>
        </w:tc>
        <w:tc>
          <w:tcPr>
            <w:tcW w:w="2406" w:type="dxa"/>
            <w:gridSpan w:val="2"/>
            <w:tcBorders>
              <w:top w:val="single" w:color="auto" w:sz="4" w:space="0"/>
              <w:left w:val="nil"/>
              <w:bottom w:val="single" w:color="auto" w:sz="4" w:space="0"/>
              <w:right w:val="nil"/>
            </w:tcBorders>
            <w:vAlign w:val="center"/>
          </w:tcPr>
          <w:p>
            <w:pPr>
              <w:widowControl/>
              <w:spacing w:line="410" w:lineRule="exact"/>
              <w:jc w:val="center"/>
              <w:rPr>
                <w:rFonts w:ascii="宋体" w:hAnsi="宋体" w:cs="宋体"/>
                <w:b/>
                <w:bCs/>
                <w:kern w:val="0"/>
                <w:szCs w:val="21"/>
              </w:rPr>
            </w:pPr>
            <w:r>
              <w:rPr>
                <w:rFonts w:hint="eastAsia" w:ascii="宋体" w:hAnsi="宋体" w:cs="宋体"/>
                <w:b/>
                <w:bCs/>
                <w:kern w:val="0"/>
                <w:szCs w:val="21"/>
              </w:rPr>
              <w:t xml:space="preserve"> 二级医院（万元）</w:t>
            </w:r>
          </w:p>
        </w:tc>
      </w:tr>
      <w:tr>
        <w:tblPrEx>
          <w:tblLayout w:type="fixed"/>
          <w:tblCellMar>
            <w:top w:w="0" w:type="dxa"/>
            <w:left w:w="28" w:type="dxa"/>
            <w:bottom w:w="0" w:type="dxa"/>
            <w:right w:w="28" w:type="dxa"/>
          </w:tblCellMar>
        </w:tblPrEx>
        <w:trPr>
          <w:trHeight w:val="451" w:hRule="atLeast"/>
          <w:jc w:val="center"/>
        </w:trPr>
        <w:tc>
          <w:tcPr>
            <w:tcW w:w="1336" w:type="dxa"/>
            <w:tcBorders>
              <w:top w:val="nil"/>
              <w:left w:val="nil"/>
              <w:bottom w:val="nil"/>
              <w:right w:val="nil"/>
            </w:tcBorders>
            <w:vAlign w:val="center"/>
          </w:tcPr>
          <w:p>
            <w:pPr>
              <w:widowControl/>
              <w:spacing w:line="410" w:lineRule="exact"/>
              <w:jc w:val="center"/>
              <w:rPr>
                <w:rFonts w:ascii="宋体" w:hAnsi="宋体" w:cs="宋体"/>
                <w:b/>
                <w:bCs/>
                <w:kern w:val="0"/>
                <w:szCs w:val="21"/>
              </w:rPr>
            </w:pPr>
            <w:r>
              <w:rPr>
                <w:rFonts w:hint="eastAsia" w:ascii="宋体" w:hAnsi="宋体" w:cs="宋体"/>
                <w:b/>
                <w:bCs/>
                <w:kern w:val="0"/>
                <w:szCs w:val="21"/>
              </w:rPr>
              <w:t>支付标准</w:t>
            </w:r>
          </w:p>
        </w:tc>
        <w:tc>
          <w:tcPr>
            <w:tcW w:w="1336" w:type="dxa"/>
            <w:tcBorders>
              <w:top w:val="nil"/>
              <w:left w:val="nil"/>
              <w:bottom w:val="nil"/>
              <w:right w:val="nil"/>
            </w:tcBorders>
            <w:vAlign w:val="center"/>
          </w:tcPr>
          <w:p>
            <w:pPr>
              <w:widowControl/>
              <w:spacing w:line="410" w:lineRule="exact"/>
              <w:jc w:val="center"/>
              <w:rPr>
                <w:rFonts w:ascii="宋体" w:hAnsi="宋体" w:cs="宋体"/>
                <w:b/>
                <w:bCs/>
                <w:kern w:val="0"/>
                <w:szCs w:val="21"/>
              </w:rPr>
            </w:pPr>
            <w:r>
              <w:rPr>
                <w:rFonts w:hint="eastAsia" w:ascii="宋体" w:hAnsi="宋体" w:cs="宋体"/>
                <w:b/>
                <w:bCs/>
                <w:kern w:val="0"/>
                <w:szCs w:val="21"/>
              </w:rPr>
              <w:t>新农合支付</w:t>
            </w:r>
          </w:p>
        </w:tc>
        <w:tc>
          <w:tcPr>
            <w:tcW w:w="1203" w:type="dxa"/>
            <w:tcBorders>
              <w:top w:val="nil"/>
              <w:left w:val="nil"/>
              <w:bottom w:val="nil"/>
              <w:right w:val="nil"/>
            </w:tcBorders>
            <w:vAlign w:val="center"/>
          </w:tcPr>
          <w:p>
            <w:pPr>
              <w:widowControl/>
              <w:spacing w:line="410" w:lineRule="exact"/>
              <w:jc w:val="center"/>
              <w:rPr>
                <w:rFonts w:ascii="宋体" w:hAnsi="宋体" w:cs="宋体"/>
                <w:b/>
                <w:bCs/>
                <w:kern w:val="0"/>
                <w:szCs w:val="21"/>
              </w:rPr>
            </w:pPr>
            <w:r>
              <w:rPr>
                <w:rFonts w:hint="eastAsia" w:ascii="宋体" w:hAnsi="宋体" w:cs="宋体"/>
                <w:b/>
                <w:bCs/>
                <w:kern w:val="0"/>
                <w:szCs w:val="21"/>
              </w:rPr>
              <w:t>支付标准</w:t>
            </w:r>
          </w:p>
        </w:tc>
        <w:tc>
          <w:tcPr>
            <w:tcW w:w="1203" w:type="dxa"/>
            <w:tcBorders>
              <w:top w:val="nil"/>
              <w:left w:val="nil"/>
              <w:bottom w:val="nil"/>
              <w:right w:val="nil"/>
            </w:tcBorders>
            <w:vAlign w:val="center"/>
          </w:tcPr>
          <w:p>
            <w:pPr>
              <w:widowControl/>
              <w:spacing w:line="410" w:lineRule="exact"/>
              <w:jc w:val="center"/>
              <w:rPr>
                <w:rFonts w:ascii="宋体" w:hAnsi="宋体" w:cs="宋体"/>
                <w:b/>
                <w:bCs/>
                <w:kern w:val="0"/>
                <w:szCs w:val="21"/>
              </w:rPr>
            </w:pPr>
            <w:r>
              <w:rPr>
                <w:rFonts w:hint="eastAsia" w:ascii="宋体" w:hAnsi="宋体" w:cs="宋体"/>
                <w:b/>
                <w:bCs/>
                <w:kern w:val="0"/>
                <w:szCs w:val="21"/>
              </w:rPr>
              <w:t>新农合支付</w:t>
            </w:r>
          </w:p>
        </w:tc>
        <w:tc>
          <w:tcPr>
            <w:tcW w:w="1203" w:type="dxa"/>
            <w:tcBorders>
              <w:top w:val="nil"/>
              <w:left w:val="nil"/>
              <w:bottom w:val="nil"/>
              <w:right w:val="nil"/>
            </w:tcBorders>
            <w:vAlign w:val="center"/>
          </w:tcPr>
          <w:p>
            <w:pPr>
              <w:widowControl/>
              <w:spacing w:line="410" w:lineRule="exact"/>
              <w:jc w:val="center"/>
              <w:rPr>
                <w:rFonts w:ascii="宋体" w:hAnsi="宋体" w:cs="宋体"/>
                <w:b/>
                <w:bCs/>
                <w:kern w:val="0"/>
                <w:szCs w:val="21"/>
              </w:rPr>
            </w:pPr>
            <w:r>
              <w:rPr>
                <w:rFonts w:hint="eastAsia" w:ascii="宋体" w:hAnsi="宋体" w:cs="宋体"/>
                <w:b/>
                <w:bCs/>
                <w:kern w:val="0"/>
                <w:szCs w:val="21"/>
              </w:rPr>
              <w:t>支付标准</w:t>
            </w:r>
          </w:p>
        </w:tc>
        <w:tc>
          <w:tcPr>
            <w:tcW w:w="1203" w:type="dxa"/>
            <w:tcBorders>
              <w:top w:val="nil"/>
              <w:left w:val="nil"/>
              <w:bottom w:val="nil"/>
              <w:right w:val="nil"/>
            </w:tcBorders>
            <w:vAlign w:val="center"/>
          </w:tcPr>
          <w:p>
            <w:pPr>
              <w:widowControl/>
              <w:spacing w:line="410" w:lineRule="exact"/>
              <w:jc w:val="center"/>
              <w:rPr>
                <w:rFonts w:ascii="宋体" w:hAnsi="宋体" w:cs="宋体"/>
                <w:b/>
                <w:bCs/>
                <w:kern w:val="0"/>
                <w:szCs w:val="21"/>
              </w:rPr>
            </w:pPr>
            <w:r>
              <w:rPr>
                <w:rFonts w:hint="eastAsia" w:ascii="宋体" w:hAnsi="宋体" w:cs="宋体"/>
                <w:b/>
                <w:bCs/>
                <w:kern w:val="0"/>
                <w:szCs w:val="21"/>
              </w:rPr>
              <w:t>新农合支付</w:t>
            </w:r>
          </w:p>
        </w:tc>
      </w:tr>
      <w:tr>
        <w:tblPrEx>
          <w:tblLayout w:type="fixed"/>
          <w:tblCellMar>
            <w:top w:w="0" w:type="dxa"/>
            <w:left w:w="28" w:type="dxa"/>
            <w:bottom w:w="0" w:type="dxa"/>
            <w:right w:w="28" w:type="dxa"/>
          </w:tblCellMar>
        </w:tblPrEx>
        <w:trPr>
          <w:trHeight w:val="451" w:hRule="atLeast"/>
          <w:jc w:val="center"/>
        </w:trPr>
        <w:tc>
          <w:tcPr>
            <w:tcW w:w="1336" w:type="dxa"/>
            <w:tcBorders>
              <w:top w:val="nil"/>
              <w:left w:val="nil"/>
              <w:bottom w:val="single" w:color="auto" w:sz="4" w:space="0"/>
              <w:right w:val="nil"/>
            </w:tcBorders>
            <w:vAlign w:val="center"/>
          </w:tcPr>
          <w:p>
            <w:pPr>
              <w:widowControl/>
              <w:spacing w:line="410" w:lineRule="exact"/>
              <w:jc w:val="center"/>
              <w:rPr>
                <w:rFonts w:ascii="宋体" w:hAnsi="宋体"/>
                <w:bCs/>
                <w:kern w:val="0"/>
                <w:szCs w:val="21"/>
              </w:rPr>
            </w:pPr>
            <w:r>
              <w:rPr>
                <w:rFonts w:hint="eastAsia" w:ascii="宋体" w:hAnsi="宋体"/>
                <w:bCs/>
                <w:kern w:val="0"/>
                <w:szCs w:val="21"/>
              </w:rPr>
              <w:t>3.5</w:t>
            </w:r>
          </w:p>
        </w:tc>
        <w:tc>
          <w:tcPr>
            <w:tcW w:w="1336" w:type="dxa"/>
            <w:tcBorders>
              <w:top w:val="nil"/>
              <w:left w:val="nil"/>
              <w:bottom w:val="single" w:color="auto" w:sz="4" w:space="0"/>
              <w:right w:val="nil"/>
            </w:tcBorders>
            <w:vAlign w:val="center"/>
          </w:tcPr>
          <w:p>
            <w:pPr>
              <w:widowControl/>
              <w:spacing w:line="410" w:lineRule="exact"/>
              <w:jc w:val="center"/>
              <w:rPr>
                <w:rFonts w:ascii="宋体" w:hAnsi="宋体"/>
                <w:bCs/>
                <w:kern w:val="0"/>
                <w:szCs w:val="21"/>
              </w:rPr>
            </w:pPr>
            <w:r>
              <w:rPr>
                <w:rFonts w:hint="eastAsia" w:ascii="宋体" w:hAnsi="宋体"/>
                <w:bCs/>
                <w:kern w:val="0"/>
                <w:szCs w:val="21"/>
              </w:rPr>
              <w:t>2.45</w:t>
            </w:r>
          </w:p>
        </w:tc>
        <w:tc>
          <w:tcPr>
            <w:tcW w:w="1203" w:type="dxa"/>
            <w:tcBorders>
              <w:top w:val="nil"/>
              <w:left w:val="nil"/>
              <w:bottom w:val="single" w:color="auto" w:sz="4" w:space="0"/>
              <w:right w:val="nil"/>
            </w:tcBorders>
            <w:vAlign w:val="center"/>
          </w:tcPr>
          <w:p>
            <w:pPr>
              <w:widowControl/>
              <w:spacing w:line="410" w:lineRule="exact"/>
              <w:jc w:val="center"/>
              <w:rPr>
                <w:rFonts w:ascii="宋体" w:hAnsi="宋体"/>
                <w:bCs/>
                <w:kern w:val="0"/>
                <w:szCs w:val="21"/>
              </w:rPr>
            </w:pPr>
            <w:r>
              <w:rPr>
                <w:rFonts w:hint="eastAsia" w:ascii="宋体" w:hAnsi="宋体"/>
                <w:bCs/>
                <w:kern w:val="0"/>
                <w:szCs w:val="21"/>
              </w:rPr>
              <w:t>3.36</w:t>
            </w:r>
          </w:p>
        </w:tc>
        <w:tc>
          <w:tcPr>
            <w:tcW w:w="1203" w:type="dxa"/>
            <w:tcBorders>
              <w:top w:val="nil"/>
              <w:left w:val="nil"/>
              <w:bottom w:val="single" w:color="auto" w:sz="4" w:space="0"/>
              <w:right w:val="nil"/>
            </w:tcBorders>
            <w:vAlign w:val="center"/>
          </w:tcPr>
          <w:p>
            <w:pPr>
              <w:widowControl/>
              <w:spacing w:line="410" w:lineRule="exact"/>
              <w:jc w:val="center"/>
              <w:rPr>
                <w:rFonts w:ascii="宋体" w:hAnsi="宋体"/>
                <w:bCs/>
                <w:kern w:val="0"/>
                <w:szCs w:val="21"/>
              </w:rPr>
            </w:pPr>
            <w:r>
              <w:rPr>
                <w:rFonts w:hint="eastAsia" w:ascii="宋体" w:hAnsi="宋体"/>
                <w:bCs/>
                <w:kern w:val="0"/>
                <w:szCs w:val="21"/>
              </w:rPr>
              <w:t>2.35</w:t>
            </w:r>
          </w:p>
        </w:tc>
        <w:tc>
          <w:tcPr>
            <w:tcW w:w="1203" w:type="dxa"/>
            <w:tcBorders>
              <w:top w:val="nil"/>
              <w:left w:val="nil"/>
              <w:bottom w:val="single" w:color="auto" w:sz="4" w:space="0"/>
              <w:right w:val="nil"/>
            </w:tcBorders>
            <w:vAlign w:val="center"/>
          </w:tcPr>
          <w:p>
            <w:pPr>
              <w:widowControl/>
              <w:spacing w:line="410" w:lineRule="exact"/>
              <w:jc w:val="center"/>
              <w:rPr>
                <w:rFonts w:ascii="宋体" w:hAnsi="宋体"/>
                <w:bCs/>
                <w:kern w:val="0"/>
                <w:szCs w:val="21"/>
              </w:rPr>
            </w:pPr>
            <w:r>
              <w:rPr>
                <w:rFonts w:hint="eastAsia" w:ascii="宋体" w:hAnsi="宋体"/>
                <w:bCs/>
                <w:kern w:val="0"/>
                <w:szCs w:val="21"/>
              </w:rPr>
              <w:t>2.8</w:t>
            </w:r>
          </w:p>
        </w:tc>
        <w:tc>
          <w:tcPr>
            <w:tcW w:w="1203" w:type="dxa"/>
            <w:tcBorders>
              <w:top w:val="nil"/>
              <w:left w:val="nil"/>
              <w:bottom w:val="single" w:color="auto" w:sz="4" w:space="0"/>
              <w:right w:val="nil"/>
            </w:tcBorders>
            <w:vAlign w:val="center"/>
          </w:tcPr>
          <w:p>
            <w:pPr>
              <w:widowControl/>
              <w:spacing w:line="410" w:lineRule="exact"/>
              <w:jc w:val="center"/>
              <w:rPr>
                <w:rFonts w:ascii="宋体" w:hAnsi="宋体"/>
                <w:bCs/>
                <w:kern w:val="0"/>
                <w:szCs w:val="21"/>
              </w:rPr>
            </w:pPr>
            <w:r>
              <w:rPr>
                <w:rFonts w:hint="eastAsia" w:ascii="宋体" w:hAnsi="宋体"/>
                <w:bCs/>
                <w:kern w:val="0"/>
                <w:szCs w:val="21"/>
              </w:rPr>
              <w:t>2.1</w:t>
            </w:r>
          </w:p>
        </w:tc>
      </w:tr>
    </w:tbl>
    <w:p>
      <w:pPr>
        <w:adjustRightInd w:val="0"/>
        <w:snapToGrid w:val="0"/>
        <w:spacing w:line="430" w:lineRule="exact"/>
        <w:ind w:firstLine="480" w:firstLineChars="200"/>
        <w:rPr>
          <w:rFonts w:hint="eastAsia" w:ascii="黑体" w:hAnsi="宋体" w:eastAsia="黑体"/>
          <w:snapToGrid w:val="0"/>
          <w:color w:val="000000"/>
          <w:kern w:val="0"/>
          <w:sz w:val="24"/>
        </w:rPr>
      </w:pPr>
      <w:r>
        <w:rPr>
          <w:rFonts w:hint="eastAsia" w:ascii="黑体" w:hAnsi="宋体" w:eastAsia="黑体"/>
          <w:snapToGrid w:val="0"/>
          <w:color w:val="000000"/>
          <w:kern w:val="0"/>
          <w:sz w:val="24"/>
        </w:rPr>
        <w:t>八、结肠癌</w:t>
      </w:r>
    </w:p>
    <w:p>
      <w:pPr>
        <w:adjustRightInd w:val="0"/>
        <w:snapToGrid w:val="0"/>
        <w:spacing w:line="430" w:lineRule="exact"/>
        <w:ind w:firstLine="480" w:firstLineChars="200"/>
        <w:rPr>
          <w:rFonts w:hint="eastAsia" w:ascii="方正楷体简体" w:hAnsi="宋体" w:eastAsia="方正楷体简体"/>
          <w:snapToGrid w:val="0"/>
          <w:color w:val="000000"/>
          <w:kern w:val="0"/>
          <w:sz w:val="24"/>
        </w:rPr>
      </w:pPr>
      <w:r>
        <w:rPr>
          <w:rFonts w:hint="eastAsia" w:ascii="方正楷体简体" w:hAnsi="宋体" w:eastAsia="方正楷体简体"/>
          <w:snapToGrid w:val="0"/>
          <w:color w:val="000000"/>
          <w:kern w:val="0"/>
          <w:sz w:val="24"/>
        </w:rPr>
        <w:t>（一）适用对象。</w:t>
      </w:r>
    </w:p>
    <w:p>
      <w:pPr>
        <w:adjustRightInd w:val="0"/>
        <w:snapToGrid w:val="0"/>
        <w:spacing w:line="430" w:lineRule="exact"/>
        <w:ind w:firstLine="480" w:firstLineChars="200"/>
        <w:rPr>
          <w:rFonts w:hint="eastAsia" w:ascii="宋体" w:hAnsi="宋体"/>
          <w:snapToGrid w:val="0"/>
          <w:color w:val="000000"/>
          <w:kern w:val="0"/>
          <w:sz w:val="24"/>
        </w:rPr>
      </w:pPr>
      <w:r>
        <w:rPr>
          <w:rFonts w:hint="eastAsia" w:ascii="宋体" w:hAnsi="宋体"/>
          <w:snapToGrid w:val="0"/>
          <w:color w:val="000000"/>
          <w:kern w:val="0"/>
          <w:sz w:val="24"/>
        </w:rPr>
        <w:t>1.以结肠癌（ICD-10：C18）为第一诊断，行结肠癌根治切除手术（ICD-9-CM-3:45.73-45.79,45.8）的患者。</w:t>
      </w:r>
    </w:p>
    <w:p>
      <w:pPr>
        <w:adjustRightInd w:val="0"/>
        <w:snapToGrid w:val="0"/>
        <w:spacing w:line="430" w:lineRule="exact"/>
        <w:ind w:firstLine="480" w:firstLineChars="200"/>
        <w:rPr>
          <w:rFonts w:hint="eastAsia" w:ascii="宋体" w:hAnsi="宋体"/>
          <w:snapToGrid w:val="0"/>
          <w:color w:val="000000"/>
          <w:kern w:val="0"/>
          <w:sz w:val="24"/>
        </w:rPr>
      </w:pPr>
      <w:r>
        <w:rPr>
          <w:rFonts w:hint="eastAsia" w:ascii="宋体" w:hAnsi="宋体"/>
          <w:snapToGrid w:val="0"/>
          <w:color w:val="000000"/>
          <w:kern w:val="0"/>
          <w:sz w:val="24"/>
        </w:rPr>
        <w:t>2.可R0切除的结肠癌（Ⅰ期、Ⅱ期和部分III期）。</w:t>
      </w:r>
    </w:p>
    <w:p>
      <w:pPr>
        <w:pStyle w:val="5"/>
        <w:adjustRightInd w:val="0"/>
        <w:snapToGrid w:val="0"/>
        <w:spacing w:line="430" w:lineRule="exact"/>
        <w:ind w:firstLine="480"/>
        <w:rPr>
          <w:rFonts w:hint="eastAsia" w:ascii="宋体" w:hAnsi="宋体"/>
          <w:snapToGrid w:val="0"/>
          <w:color w:val="000000"/>
          <w:kern w:val="0"/>
          <w:sz w:val="24"/>
        </w:rPr>
      </w:pPr>
      <w:r>
        <w:rPr>
          <w:rFonts w:hint="eastAsia" w:ascii="宋体" w:hAnsi="宋体"/>
          <w:snapToGrid w:val="0"/>
          <w:color w:val="000000"/>
          <w:kern w:val="0"/>
          <w:sz w:val="24"/>
        </w:rPr>
        <w:t>3.对诊断为多原发并多部位的结肠癌（ICD-10：C18），结肠息肉病（如FAP、HNPCC）和炎性肠病合并癌变的患者，直肠无病变者，可考虑行全结肠切除术。</w:t>
      </w:r>
    </w:p>
    <w:p>
      <w:pPr>
        <w:pStyle w:val="5"/>
        <w:adjustRightInd w:val="0"/>
        <w:snapToGrid w:val="0"/>
        <w:spacing w:line="430" w:lineRule="exact"/>
        <w:ind w:firstLine="480"/>
        <w:rPr>
          <w:rFonts w:ascii="宋体" w:hAnsi="宋体"/>
          <w:snapToGrid w:val="0"/>
          <w:color w:val="000000"/>
          <w:kern w:val="0"/>
          <w:sz w:val="24"/>
        </w:rPr>
      </w:pPr>
      <w:r>
        <w:rPr>
          <w:rFonts w:hint="eastAsia" w:ascii="宋体" w:hAnsi="宋体"/>
          <w:snapToGrid w:val="0"/>
          <w:color w:val="000000"/>
          <w:kern w:val="0"/>
          <w:sz w:val="24"/>
        </w:rPr>
        <w:t>在定点医疗机构行结肠癌开腹根治术、局部切除（或结肠曲段切除）、姑息切除术</w:t>
      </w:r>
      <w:r>
        <w:rPr>
          <w:rFonts w:ascii="宋体" w:hAnsi="宋体"/>
          <w:snapToGrid w:val="0"/>
          <w:color w:val="000000"/>
          <w:kern w:val="0"/>
          <w:sz w:val="24"/>
        </w:rPr>
        <w:t>+</w:t>
      </w:r>
      <w:r>
        <w:rPr>
          <w:rFonts w:hint="eastAsia" w:ascii="宋体" w:hAnsi="宋体"/>
          <w:snapToGrid w:val="0"/>
          <w:color w:val="000000"/>
          <w:kern w:val="0"/>
          <w:sz w:val="24"/>
        </w:rPr>
        <w:t>短路（或造口术），发生的费用纳入新农合重大疾病按病种付费范围。</w:t>
      </w:r>
    </w:p>
    <w:p>
      <w:pPr>
        <w:pStyle w:val="5"/>
        <w:adjustRightInd w:val="0"/>
        <w:snapToGrid w:val="0"/>
        <w:spacing w:line="430" w:lineRule="exact"/>
        <w:ind w:firstLine="480"/>
        <w:rPr>
          <w:rFonts w:hint="eastAsia" w:ascii="方正楷体简体" w:hAnsi="宋体" w:eastAsia="方正楷体简体"/>
          <w:snapToGrid w:val="0"/>
          <w:color w:val="000000"/>
          <w:kern w:val="0"/>
          <w:sz w:val="24"/>
        </w:rPr>
      </w:pPr>
      <w:r>
        <w:rPr>
          <w:rFonts w:hint="eastAsia" w:ascii="方正楷体简体" w:hAnsi="宋体" w:eastAsia="方正楷体简体"/>
          <w:snapToGrid w:val="0"/>
          <w:color w:val="000000"/>
          <w:kern w:val="0"/>
          <w:sz w:val="24"/>
        </w:rPr>
        <w:t>（二）支付条件。</w:t>
      </w:r>
    </w:p>
    <w:p>
      <w:pPr>
        <w:adjustRightInd w:val="0"/>
        <w:snapToGrid w:val="0"/>
        <w:spacing w:line="430" w:lineRule="exact"/>
        <w:ind w:firstLine="480" w:firstLineChars="200"/>
        <w:rPr>
          <w:rFonts w:hint="eastAsia" w:ascii="宋体" w:hAnsi="宋体"/>
          <w:snapToGrid w:val="0"/>
          <w:color w:val="000000"/>
          <w:kern w:val="0"/>
          <w:sz w:val="24"/>
        </w:rPr>
      </w:pPr>
      <w:r>
        <w:rPr>
          <w:rFonts w:hint="eastAsia" w:ascii="宋体" w:hAnsi="宋体"/>
          <w:snapToGrid w:val="0"/>
          <w:color w:val="000000"/>
          <w:kern w:val="0"/>
          <w:sz w:val="24"/>
        </w:rPr>
        <w:t>治疗过程需严格按照《结肠癌根治切除手术临床路径（2012年版）》执行，方可实行按病种付费。</w:t>
      </w:r>
    </w:p>
    <w:p>
      <w:pPr>
        <w:adjustRightInd w:val="0"/>
        <w:snapToGrid w:val="0"/>
        <w:spacing w:line="430" w:lineRule="exact"/>
        <w:ind w:firstLine="480" w:firstLineChars="200"/>
        <w:rPr>
          <w:rFonts w:hint="eastAsia" w:ascii="方正楷体简体" w:hAnsi="宋体" w:eastAsia="方正楷体简体"/>
          <w:snapToGrid w:val="0"/>
          <w:color w:val="000000"/>
          <w:kern w:val="0"/>
          <w:sz w:val="24"/>
        </w:rPr>
      </w:pPr>
      <w:r>
        <w:rPr>
          <w:rFonts w:hint="eastAsia" w:ascii="方正楷体简体" w:hAnsi="宋体" w:eastAsia="方正楷体简体"/>
          <w:snapToGrid w:val="0"/>
          <w:color w:val="000000"/>
          <w:kern w:val="0"/>
          <w:sz w:val="24"/>
        </w:rPr>
        <w:t>（三）支付标准。</w:t>
      </w:r>
    </w:p>
    <w:p>
      <w:pPr>
        <w:adjustRightInd w:val="0"/>
        <w:snapToGrid w:val="0"/>
        <w:spacing w:line="430" w:lineRule="exact"/>
        <w:ind w:firstLine="480" w:firstLineChars="200"/>
        <w:rPr>
          <w:rFonts w:hint="eastAsia" w:ascii="宋体" w:hAnsi="宋体"/>
          <w:snapToGrid w:val="0"/>
          <w:color w:val="000000"/>
          <w:kern w:val="0"/>
          <w:sz w:val="24"/>
        </w:rPr>
      </w:pPr>
      <w:r>
        <w:rPr>
          <w:rFonts w:hint="eastAsia" w:ascii="宋体" w:hAnsi="宋体"/>
          <w:snapToGrid w:val="0"/>
          <w:color w:val="000000"/>
          <w:kern w:val="0"/>
          <w:sz w:val="24"/>
        </w:rPr>
        <w:t xml:space="preserve">支付的费用包括患者每次住院期间发生的费用（含术后1个周期的化疗）。医院应按照定额支付标准收取费用，其中三级医院相应标准的70%，二级医院相应标准的75%由新农合基金支付。 </w:t>
      </w:r>
    </w:p>
    <w:p>
      <w:pPr>
        <w:adjustRightInd w:val="0"/>
        <w:snapToGrid w:val="0"/>
        <w:spacing w:line="430" w:lineRule="exact"/>
        <w:ind w:firstLine="480" w:firstLineChars="200"/>
        <w:rPr>
          <w:rFonts w:hint="eastAsia" w:ascii="宋体" w:hAnsi="宋体"/>
          <w:snapToGrid w:val="0"/>
          <w:color w:val="000000"/>
          <w:kern w:val="0"/>
          <w:sz w:val="24"/>
        </w:rPr>
      </w:pPr>
    </w:p>
    <w:p>
      <w:pPr>
        <w:adjustRightInd w:val="0"/>
        <w:snapToGrid w:val="0"/>
        <w:spacing w:line="430" w:lineRule="exact"/>
        <w:ind w:firstLine="480" w:firstLineChars="200"/>
        <w:rPr>
          <w:rFonts w:hint="eastAsia" w:ascii="宋体" w:hAnsi="宋体"/>
          <w:snapToGrid w:val="0"/>
          <w:color w:val="000000"/>
          <w:kern w:val="0"/>
          <w:sz w:val="24"/>
        </w:rPr>
      </w:pPr>
    </w:p>
    <w:p>
      <w:pPr>
        <w:pStyle w:val="5"/>
        <w:spacing w:line="430" w:lineRule="exact"/>
        <w:ind w:firstLine="0" w:firstLineChars="0"/>
        <w:jc w:val="center"/>
        <w:rPr>
          <w:rFonts w:hint="eastAsia" w:ascii="宋体" w:hAnsi="宋体"/>
          <w:sz w:val="24"/>
        </w:rPr>
      </w:pPr>
      <w:r>
        <w:rPr>
          <w:rFonts w:hint="eastAsia" w:ascii="宋体" w:hAnsi="宋体"/>
          <w:sz w:val="24"/>
        </w:rPr>
        <w:t>表8   结肠癌住院治疗费用的定额支付标准</w:t>
      </w:r>
    </w:p>
    <w:tbl>
      <w:tblPr>
        <w:tblStyle w:val="4"/>
        <w:tblW w:w="7484" w:type="dxa"/>
        <w:jc w:val="center"/>
        <w:tblInd w:w="0" w:type="dxa"/>
        <w:tblLayout w:type="fixed"/>
        <w:tblCellMar>
          <w:top w:w="0" w:type="dxa"/>
          <w:left w:w="28" w:type="dxa"/>
          <w:bottom w:w="0" w:type="dxa"/>
          <w:right w:w="28" w:type="dxa"/>
        </w:tblCellMar>
      </w:tblPr>
      <w:tblGrid>
        <w:gridCol w:w="1336"/>
        <w:gridCol w:w="1336"/>
        <w:gridCol w:w="1203"/>
        <w:gridCol w:w="1203"/>
        <w:gridCol w:w="1203"/>
        <w:gridCol w:w="1203"/>
      </w:tblGrid>
      <w:tr>
        <w:tblPrEx>
          <w:tblLayout w:type="fixed"/>
          <w:tblCellMar>
            <w:top w:w="0" w:type="dxa"/>
            <w:left w:w="28" w:type="dxa"/>
            <w:bottom w:w="0" w:type="dxa"/>
            <w:right w:w="28" w:type="dxa"/>
          </w:tblCellMar>
        </w:tblPrEx>
        <w:trPr>
          <w:trHeight w:val="450" w:hRule="atLeast"/>
          <w:jc w:val="center"/>
        </w:trPr>
        <w:tc>
          <w:tcPr>
            <w:tcW w:w="2672" w:type="dxa"/>
            <w:gridSpan w:val="2"/>
            <w:tcBorders>
              <w:top w:val="single" w:color="auto" w:sz="4" w:space="0"/>
              <w:left w:val="nil"/>
              <w:bottom w:val="single" w:color="auto" w:sz="4" w:space="0"/>
              <w:right w:val="nil"/>
            </w:tcBorders>
            <w:vAlign w:val="center"/>
          </w:tcPr>
          <w:p>
            <w:pPr>
              <w:widowControl/>
              <w:spacing w:line="410" w:lineRule="exact"/>
              <w:rPr>
                <w:rFonts w:ascii="宋体" w:hAnsi="宋体" w:cs="宋体"/>
                <w:b/>
                <w:bCs/>
                <w:kern w:val="0"/>
                <w:szCs w:val="21"/>
              </w:rPr>
            </w:pPr>
            <w:r>
              <w:rPr>
                <w:rFonts w:hint="eastAsia" w:ascii="宋体" w:hAnsi="宋体" w:cs="宋体"/>
                <w:b/>
                <w:bCs/>
                <w:kern w:val="0"/>
                <w:szCs w:val="21"/>
              </w:rPr>
              <w:t>省级定点救治医院（万元）</w:t>
            </w:r>
          </w:p>
        </w:tc>
        <w:tc>
          <w:tcPr>
            <w:tcW w:w="2406" w:type="dxa"/>
            <w:gridSpan w:val="2"/>
            <w:tcBorders>
              <w:top w:val="single" w:color="auto" w:sz="4" w:space="0"/>
              <w:left w:val="nil"/>
              <w:bottom w:val="single" w:color="auto" w:sz="4" w:space="0"/>
              <w:right w:val="nil"/>
            </w:tcBorders>
            <w:vAlign w:val="center"/>
          </w:tcPr>
          <w:p>
            <w:pPr>
              <w:widowControl/>
              <w:spacing w:line="410" w:lineRule="exact"/>
              <w:jc w:val="center"/>
              <w:rPr>
                <w:rFonts w:ascii="宋体" w:hAnsi="宋体" w:cs="宋体"/>
                <w:b/>
                <w:bCs/>
                <w:kern w:val="0"/>
                <w:szCs w:val="21"/>
              </w:rPr>
            </w:pPr>
            <w:r>
              <w:rPr>
                <w:rFonts w:hint="eastAsia" w:ascii="宋体" w:hAnsi="宋体" w:cs="宋体"/>
                <w:b/>
                <w:bCs/>
                <w:kern w:val="0"/>
                <w:szCs w:val="21"/>
              </w:rPr>
              <w:t>三级医院（万元）</w:t>
            </w:r>
          </w:p>
        </w:tc>
        <w:tc>
          <w:tcPr>
            <w:tcW w:w="2406" w:type="dxa"/>
            <w:gridSpan w:val="2"/>
            <w:tcBorders>
              <w:top w:val="single" w:color="auto" w:sz="4" w:space="0"/>
              <w:left w:val="nil"/>
              <w:bottom w:val="single" w:color="auto" w:sz="4" w:space="0"/>
              <w:right w:val="nil"/>
            </w:tcBorders>
            <w:vAlign w:val="center"/>
          </w:tcPr>
          <w:p>
            <w:pPr>
              <w:widowControl/>
              <w:spacing w:line="410" w:lineRule="exact"/>
              <w:jc w:val="center"/>
              <w:rPr>
                <w:rFonts w:ascii="宋体" w:hAnsi="宋体" w:cs="宋体"/>
                <w:b/>
                <w:bCs/>
                <w:kern w:val="0"/>
                <w:szCs w:val="21"/>
              </w:rPr>
            </w:pPr>
            <w:r>
              <w:rPr>
                <w:rFonts w:hint="eastAsia" w:ascii="宋体" w:hAnsi="宋体" w:cs="宋体"/>
                <w:b/>
                <w:bCs/>
                <w:kern w:val="0"/>
                <w:szCs w:val="21"/>
              </w:rPr>
              <w:t xml:space="preserve"> 二级医院（万元）</w:t>
            </w:r>
          </w:p>
        </w:tc>
      </w:tr>
      <w:tr>
        <w:tblPrEx>
          <w:tblLayout w:type="fixed"/>
          <w:tblCellMar>
            <w:top w:w="0" w:type="dxa"/>
            <w:left w:w="28" w:type="dxa"/>
            <w:bottom w:w="0" w:type="dxa"/>
            <w:right w:w="28" w:type="dxa"/>
          </w:tblCellMar>
        </w:tblPrEx>
        <w:trPr>
          <w:trHeight w:val="451" w:hRule="atLeast"/>
          <w:jc w:val="center"/>
        </w:trPr>
        <w:tc>
          <w:tcPr>
            <w:tcW w:w="1336" w:type="dxa"/>
            <w:tcBorders>
              <w:top w:val="nil"/>
              <w:left w:val="nil"/>
              <w:bottom w:val="nil"/>
              <w:right w:val="nil"/>
            </w:tcBorders>
            <w:vAlign w:val="center"/>
          </w:tcPr>
          <w:p>
            <w:pPr>
              <w:widowControl/>
              <w:spacing w:line="410" w:lineRule="exact"/>
              <w:jc w:val="center"/>
              <w:rPr>
                <w:rFonts w:ascii="宋体" w:hAnsi="宋体" w:cs="宋体"/>
                <w:b/>
                <w:bCs/>
                <w:kern w:val="0"/>
                <w:szCs w:val="21"/>
              </w:rPr>
            </w:pPr>
            <w:r>
              <w:rPr>
                <w:rFonts w:hint="eastAsia" w:ascii="宋体" w:hAnsi="宋体" w:cs="宋体"/>
                <w:b/>
                <w:bCs/>
                <w:kern w:val="0"/>
                <w:szCs w:val="21"/>
              </w:rPr>
              <w:t>支付标准</w:t>
            </w:r>
          </w:p>
        </w:tc>
        <w:tc>
          <w:tcPr>
            <w:tcW w:w="1336" w:type="dxa"/>
            <w:tcBorders>
              <w:top w:val="nil"/>
              <w:left w:val="nil"/>
              <w:bottom w:val="nil"/>
              <w:right w:val="nil"/>
            </w:tcBorders>
            <w:vAlign w:val="center"/>
          </w:tcPr>
          <w:p>
            <w:pPr>
              <w:widowControl/>
              <w:spacing w:line="410" w:lineRule="exact"/>
              <w:jc w:val="center"/>
              <w:rPr>
                <w:rFonts w:ascii="宋体" w:hAnsi="宋体" w:cs="宋体"/>
                <w:b/>
                <w:bCs/>
                <w:kern w:val="0"/>
                <w:szCs w:val="21"/>
              </w:rPr>
            </w:pPr>
            <w:r>
              <w:rPr>
                <w:rFonts w:hint="eastAsia" w:ascii="宋体" w:hAnsi="宋体" w:cs="宋体"/>
                <w:b/>
                <w:bCs/>
                <w:kern w:val="0"/>
                <w:szCs w:val="21"/>
              </w:rPr>
              <w:t>新农合支付</w:t>
            </w:r>
          </w:p>
        </w:tc>
        <w:tc>
          <w:tcPr>
            <w:tcW w:w="1203" w:type="dxa"/>
            <w:tcBorders>
              <w:top w:val="nil"/>
              <w:left w:val="nil"/>
              <w:bottom w:val="nil"/>
              <w:right w:val="nil"/>
            </w:tcBorders>
            <w:vAlign w:val="center"/>
          </w:tcPr>
          <w:p>
            <w:pPr>
              <w:widowControl/>
              <w:spacing w:line="410" w:lineRule="exact"/>
              <w:jc w:val="center"/>
              <w:rPr>
                <w:rFonts w:ascii="宋体" w:hAnsi="宋体" w:cs="宋体"/>
                <w:b/>
                <w:bCs/>
                <w:kern w:val="0"/>
                <w:szCs w:val="21"/>
              </w:rPr>
            </w:pPr>
            <w:r>
              <w:rPr>
                <w:rFonts w:hint="eastAsia" w:ascii="宋体" w:hAnsi="宋体" w:cs="宋体"/>
                <w:b/>
                <w:bCs/>
                <w:kern w:val="0"/>
                <w:szCs w:val="21"/>
              </w:rPr>
              <w:t>支付标准</w:t>
            </w:r>
          </w:p>
        </w:tc>
        <w:tc>
          <w:tcPr>
            <w:tcW w:w="1203" w:type="dxa"/>
            <w:tcBorders>
              <w:top w:val="nil"/>
              <w:left w:val="nil"/>
              <w:bottom w:val="nil"/>
              <w:right w:val="nil"/>
            </w:tcBorders>
            <w:vAlign w:val="center"/>
          </w:tcPr>
          <w:p>
            <w:pPr>
              <w:widowControl/>
              <w:spacing w:line="410" w:lineRule="exact"/>
              <w:jc w:val="center"/>
              <w:rPr>
                <w:rFonts w:ascii="宋体" w:hAnsi="宋体" w:cs="宋体"/>
                <w:b/>
                <w:bCs/>
                <w:kern w:val="0"/>
                <w:szCs w:val="21"/>
              </w:rPr>
            </w:pPr>
            <w:r>
              <w:rPr>
                <w:rFonts w:hint="eastAsia" w:ascii="宋体" w:hAnsi="宋体" w:cs="宋体"/>
                <w:b/>
                <w:bCs/>
                <w:kern w:val="0"/>
                <w:szCs w:val="21"/>
              </w:rPr>
              <w:t>新农合支付</w:t>
            </w:r>
          </w:p>
        </w:tc>
        <w:tc>
          <w:tcPr>
            <w:tcW w:w="1203" w:type="dxa"/>
            <w:tcBorders>
              <w:top w:val="nil"/>
              <w:left w:val="nil"/>
              <w:bottom w:val="nil"/>
              <w:right w:val="nil"/>
            </w:tcBorders>
            <w:vAlign w:val="center"/>
          </w:tcPr>
          <w:p>
            <w:pPr>
              <w:widowControl/>
              <w:spacing w:line="410" w:lineRule="exact"/>
              <w:jc w:val="center"/>
              <w:rPr>
                <w:rFonts w:ascii="宋体" w:hAnsi="宋体" w:cs="宋体"/>
                <w:b/>
                <w:bCs/>
                <w:kern w:val="0"/>
                <w:szCs w:val="21"/>
              </w:rPr>
            </w:pPr>
            <w:r>
              <w:rPr>
                <w:rFonts w:hint="eastAsia" w:ascii="宋体" w:hAnsi="宋体" w:cs="宋体"/>
                <w:b/>
                <w:bCs/>
                <w:kern w:val="0"/>
                <w:szCs w:val="21"/>
              </w:rPr>
              <w:t>支付标准</w:t>
            </w:r>
          </w:p>
        </w:tc>
        <w:tc>
          <w:tcPr>
            <w:tcW w:w="1203" w:type="dxa"/>
            <w:tcBorders>
              <w:top w:val="nil"/>
              <w:left w:val="nil"/>
              <w:bottom w:val="nil"/>
              <w:right w:val="nil"/>
            </w:tcBorders>
            <w:vAlign w:val="center"/>
          </w:tcPr>
          <w:p>
            <w:pPr>
              <w:widowControl/>
              <w:spacing w:line="410" w:lineRule="exact"/>
              <w:jc w:val="center"/>
              <w:rPr>
                <w:rFonts w:ascii="宋体" w:hAnsi="宋体" w:cs="宋体"/>
                <w:b/>
                <w:bCs/>
                <w:kern w:val="0"/>
                <w:szCs w:val="21"/>
              </w:rPr>
            </w:pPr>
            <w:r>
              <w:rPr>
                <w:rFonts w:hint="eastAsia" w:ascii="宋体" w:hAnsi="宋体" w:cs="宋体"/>
                <w:b/>
                <w:bCs/>
                <w:kern w:val="0"/>
                <w:szCs w:val="21"/>
              </w:rPr>
              <w:t>新农合支付</w:t>
            </w:r>
          </w:p>
        </w:tc>
      </w:tr>
      <w:tr>
        <w:tblPrEx>
          <w:tblLayout w:type="fixed"/>
          <w:tblCellMar>
            <w:top w:w="0" w:type="dxa"/>
            <w:left w:w="28" w:type="dxa"/>
            <w:bottom w:w="0" w:type="dxa"/>
            <w:right w:w="28" w:type="dxa"/>
          </w:tblCellMar>
        </w:tblPrEx>
        <w:trPr>
          <w:trHeight w:val="451" w:hRule="atLeast"/>
          <w:jc w:val="center"/>
        </w:trPr>
        <w:tc>
          <w:tcPr>
            <w:tcW w:w="1336" w:type="dxa"/>
            <w:tcBorders>
              <w:top w:val="nil"/>
              <w:left w:val="nil"/>
              <w:bottom w:val="single" w:color="auto" w:sz="4" w:space="0"/>
              <w:right w:val="nil"/>
            </w:tcBorders>
            <w:vAlign w:val="center"/>
          </w:tcPr>
          <w:p>
            <w:pPr>
              <w:widowControl/>
              <w:spacing w:line="410" w:lineRule="exact"/>
              <w:jc w:val="center"/>
              <w:rPr>
                <w:rFonts w:ascii="宋体" w:hAnsi="宋体"/>
                <w:kern w:val="0"/>
                <w:szCs w:val="21"/>
              </w:rPr>
            </w:pPr>
            <w:r>
              <w:rPr>
                <w:rFonts w:ascii="宋体" w:hAnsi="宋体"/>
                <w:kern w:val="0"/>
                <w:szCs w:val="21"/>
              </w:rPr>
              <w:t>3.4</w:t>
            </w:r>
          </w:p>
        </w:tc>
        <w:tc>
          <w:tcPr>
            <w:tcW w:w="1336" w:type="dxa"/>
            <w:tcBorders>
              <w:top w:val="nil"/>
              <w:left w:val="nil"/>
              <w:bottom w:val="single" w:color="auto" w:sz="4" w:space="0"/>
              <w:right w:val="nil"/>
            </w:tcBorders>
            <w:vAlign w:val="center"/>
          </w:tcPr>
          <w:p>
            <w:pPr>
              <w:widowControl/>
              <w:spacing w:line="410" w:lineRule="exact"/>
              <w:jc w:val="center"/>
              <w:rPr>
                <w:rFonts w:ascii="宋体" w:hAnsi="宋体"/>
                <w:kern w:val="0"/>
                <w:szCs w:val="21"/>
              </w:rPr>
            </w:pPr>
            <w:r>
              <w:rPr>
                <w:rFonts w:ascii="宋体" w:hAnsi="宋体"/>
                <w:kern w:val="0"/>
                <w:szCs w:val="21"/>
              </w:rPr>
              <w:t>2.</w:t>
            </w:r>
            <w:r>
              <w:rPr>
                <w:rFonts w:hint="eastAsia" w:ascii="宋体" w:hAnsi="宋体"/>
                <w:kern w:val="0"/>
                <w:szCs w:val="21"/>
              </w:rPr>
              <w:t>38</w:t>
            </w:r>
          </w:p>
        </w:tc>
        <w:tc>
          <w:tcPr>
            <w:tcW w:w="1203" w:type="dxa"/>
            <w:tcBorders>
              <w:top w:val="nil"/>
              <w:left w:val="nil"/>
              <w:bottom w:val="single" w:color="auto" w:sz="4" w:space="0"/>
              <w:right w:val="nil"/>
            </w:tcBorders>
            <w:vAlign w:val="center"/>
          </w:tcPr>
          <w:p>
            <w:pPr>
              <w:widowControl/>
              <w:spacing w:line="410" w:lineRule="exact"/>
              <w:jc w:val="center"/>
              <w:rPr>
                <w:rFonts w:ascii="宋体" w:hAnsi="宋体"/>
                <w:kern w:val="0"/>
                <w:szCs w:val="21"/>
              </w:rPr>
            </w:pPr>
            <w:r>
              <w:rPr>
                <w:rFonts w:ascii="宋体" w:hAnsi="宋体"/>
                <w:kern w:val="0"/>
                <w:szCs w:val="21"/>
              </w:rPr>
              <w:t>3.2</w:t>
            </w:r>
          </w:p>
        </w:tc>
        <w:tc>
          <w:tcPr>
            <w:tcW w:w="1203" w:type="dxa"/>
            <w:tcBorders>
              <w:top w:val="nil"/>
              <w:left w:val="nil"/>
              <w:bottom w:val="single" w:color="auto" w:sz="4" w:space="0"/>
              <w:right w:val="nil"/>
            </w:tcBorders>
            <w:vAlign w:val="center"/>
          </w:tcPr>
          <w:p>
            <w:pPr>
              <w:widowControl/>
              <w:spacing w:line="410" w:lineRule="exact"/>
              <w:jc w:val="center"/>
              <w:rPr>
                <w:rFonts w:ascii="宋体" w:hAnsi="宋体"/>
                <w:kern w:val="0"/>
                <w:szCs w:val="21"/>
              </w:rPr>
            </w:pPr>
            <w:r>
              <w:rPr>
                <w:rFonts w:ascii="宋体" w:hAnsi="宋体"/>
                <w:kern w:val="0"/>
                <w:szCs w:val="21"/>
              </w:rPr>
              <w:t>2.24</w:t>
            </w:r>
          </w:p>
        </w:tc>
        <w:tc>
          <w:tcPr>
            <w:tcW w:w="1203" w:type="dxa"/>
            <w:tcBorders>
              <w:top w:val="nil"/>
              <w:left w:val="nil"/>
              <w:bottom w:val="single" w:color="auto" w:sz="4" w:space="0"/>
              <w:right w:val="nil"/>
            </w:tcBorders>
            <w:vAlign w:val="center"/>
          </w:tcPr>
          <w:p>
            <w:pPr>
              <w:widowControl/>
              <w:spacing w:line="410" w:lineRule="exact"/>
              <w:jc w:val="center"/>
              <w:rPr>
                <w:rFonts w:ascii="宋体" w:hAnsi="宋体"/>
                <w:kern w:val="0"/>
                <w:szCs w:val="21"/>
              </w:rPr>
            </w:pPr>
            <w:r>
              <w:rPr>
                <w:rFonts w:ascii="宋体" w:hAnsi="宋体"/>
                <w:kern w:val="0"/>
                <w:szCs w:val="21"/>
              </w:rPr>
              <w:t>2.5</w:t>
            </w:r>
          </w:p>
        </w:tc>
        <w:tc>
          <w:tcPr>
            <w:tcW w:w="1203" w:type="dxa"/>
            <w:tcBorders>
              <w:top w:val="nil"/>
              <w:left w:val="nil"/>
              <w:bottom w:val="single" w:color="auto" w:sz="4" w:space="0"/>
              <w:right w:val="nil"/>
            </w:tcBorders>
            <w:vAlign w:val="center"/>
          </w:tcPr>
          <w:p>
            <w:pPr>
              <w:widowControl/>
              <w:spacing w:line="410" w:lineRule="exact"/>
              <w:jc w:val="center"/>
              <w:rPr>
                <w:rFonts w:ascii="宋体" w:hAnsi="宋体"/>
                <w:kern w:val="0"/>
                <w:szCs w:val="21"/>
              </w:rPr>
            </w:pPr>
            <w:r>
              <w:rPr>
                <w:rFonts w:ascii="宋体" w:hAnsi="宋体"/>
                <w:kern w:val="0"/>
                <w:szCs w:val="21"/>
              </w:rPr>
              <w:t>1.88</w:t>
            </w:r>
          </w:p>
        </w:tc>
      </w:tr>
    </w:tbl>
    <w:p>
      <w:pPr>
        <w:adjustRightInd w:val="0"/>
        <w:snapToGrid w:val="0"/>
        <w:spacing w:line="430" w:lineRule="exact"/>
        <w:ind w:firstLine="480" w:firstLineChars="200"/>
        <w:rPr>
          <w:rFonts w:hint="eastAsia" w:ascii="黑体" w:hAnsi="宋体" w:eastAsia="黑体"/>
          <w:snapToGrid w:val="0"/>
          <w:color w:val="000000"/>
          <w:kern w:val="0"/>
          <w:sz w:val="24"/>
        </w:rPr>
      </w:pPr>
      <w:r>
        <w:rPr>
          <w:rFonts w:hint="eastAsia" w:ascii="黑体" w:hAnsi="宋体" w:eastAsia="黑体"/>
          <w:snapToGrid w:val="0"/>
          <w:color w:val="000000"/>
          <w:kern w:val="0"/>
          <w:sz w:val="24"/>
        </w:rPr>
        <w:t>九、直肠癌</w:t>
      </w:r>
    </w:p>
    <w:p>
      <w:pPr>
        <w:adjustRightInd w:val="0"/>
        <w:snapToGrid w:val="0"/>
        <w:spacing w:line="430" w:lineRule="exact"/>
        <w:ind w:firstLine="480" w:firstLineChars="200"/>
        <w:rPr>
          <w:rFonts w:hint="eastAsia" w:ascii="方正楷体简体" w:hAnsi="宋体" w:eastAsia="方正楷体简体"/>
          <w:snapToGrid w:val="0"/>
          <w:color w:val="000000"/>
          <w:kern w:val="0"/>
          <w:sz w:val="24"/>
        </w:rPr>
      </w:pPr>
      <w:r>
        <w:rPr>
          <w:rFonts w:hint="eastAsia" w:ascii="方正楷体简体" w:hAnsi="宋体" w:eastAsia="方正楷体简体"/>
          <w:snapToGrid w:val="0"/>
          <w:color w:val="000000"/>
          <w:kern w:val="0"/>
          <w:sz w:val="24"/>
        </w:rPr>
        <w:t>（一）适用对象。</w:t>
      </w:r>
    </w:p>
    <w:p>
      <w:pPr>
        <w:adjustRightInd w:val="0"/>
        <w:snapToGrid w:val="0"/>
        <w:spacing w:line="430" w:lineRule="exact"/>
        <w:ind w:firstLine="480" w:firstLineChars="200"/>
        <w:rPr>
          <w:rFonts w:hint="eastAsia" w:ascii="宋体" w:hAnsi="宋体"/>
          <w:snapToGrid w:val="0"/>
          <w:color w:val="000000"/>
          <w:kern w:val="0"/>
          <w:sz w:val="24"/>
        </w:rPr>
      </w:pPr>
      <w:r>
        <w:rPr>
          <w:rFonts w:hint="eastAsia" w:ascii="宋体" w:hAnsi="宋体"/>
          <w:snapToGrid w:val="0"/>
          <w:color w:val="000000"/>
          <w:kern w:val="0"/>
          <w:sz w:val="24"/>
        </w:rPr>
        <w:t>直肠癌低位前切除手术适用对象：</w:t>
      </w:r>
    </w:p>
    <w:p>
      <w:pPr>
        <w:adjustRightInd w:val="0"/>
        <w:snapToGrid w:val="0"/>
        <w:spacing w:line="430" w:lineRule="exact"/>
        <w:ind w:firstLine="480" w:firstLineChars="200"/>
        <w:rPr>
          <w:rFonts w:hint="eastAsia" w:ascii="宋体" w:hAnsi="宋体"/>
          <w:snapToGrid w:val="0"/>
          <w:color w:val="000000"/>
          <w:kern w:val="0"/>
          <w:sz w:val="24"/>
        </w:rPr>
      </w:pPr>
      <w:r>
        <w:rPr>
          <w:rFonts w:hint="eastAsia" w:ascii="宋体" w:hAnsi="宋体"/>
          <w:snapToGrid w:val="0"/>
          <w:color w:val="000000"/>
          <w:kern w:val="0"/>
          <w:sz w:val="24"/>
        </w:rPr>
        <w:t>1.以直肠癌（ICD-10：C20）为第一诊断，行直肠癌低位前切除手术（ICD-9-CM-3：48.62或48.63）的患者。</w:t>
      </w:r>
    </w:p>
    <w:p>
      <w:pPr>
        <w:adjustRightInd w:val="0"/>
        <w:snapToGrid w:val="0"/>
        <w:spacing w:line="430" w:lineRule="exact"/>
        <w:ind w:firstLine="480" w:firstLineChars="200"/>
        <w:rPr>
          <w:rFonts w:hint="eastAsia" w:ascii="宋体" w:hAnsi="宋体"/>
          <w:snapToGrid w:val="0"/>
          <w:color w:val="000000"/>
          <w:kern w:val="0"/>
          <w:sz w:val="24"/>
        </w:rPr>
      </w:pPr>
      <w:r>
        <w:rPr>
          <w:rFonts w:hint="eastAsia" w:ascii="宋体" w:hAnsi="宋体"/>
          <w:snapToGrid w:val="0"/>
          <w:color w:val="000000"/>
          <w:kern w:val="0"/>
          <w:sz w:val="24"/>
        </w:rPr>
        <w:t>2.可R0切除的高中位直肠癌（Ⅰ期及部分Ⅱ、III期患者）。</w:t>
      </w:r>
    </w:p>
    <w:p>
      <w:pPr>
        <w:adjustRightInd w:val="0"/>
        <w:snapToGrid w:val="0"/>
        <w:spacing w:line="430" w:lineRule="exact"/>
        <w:ind w:firstLine="480" w:firstLineChars="200"/>
        <w:rPr>
          <w:rFonts w:hint="eastAsia" w:ascii="宋体" w:hAnsi="宋体"/>
          <w:snapToGrid w:val="0"/>
          <w:color w:val="000000"/>
          <w:kern w:val="0"/>
          <w:sz w:val="24"/>
        </w:rPr>
      </w:pPr>
      <w:r>
        <w:rPr>
          <w:rFonts w:hint="eastAsia" w:ascii="宋体" w:hAnsi="宋体"/>
          <w:snapToGrid w:val="0"/>
          <w:color w:val="000000"/>
          <w:kern w:val="0"/>
          <w:sz w:val="24"/>
        </w:rPr>
        <w:t>直肠癌腹会阴联合切除手术使用对象：</w:t>
      </w:r>
    </w:p>
    <w:p>
      <w:pPr>
        <w:pStyle w:val="2"/>
        <w:adjustRightInd w:val="0"/>
        <w:snapToGrid w:val="0"/>
        <w:spacing w:line="430" w:lineRule="exact"/>
        <w:ind w:firstLine="480" w:firstLineChars="200"/>
        <w:jc w:val="both"/>
        <w:rPr>
          <w:rFonts w:ascii="宋体" w:hAnsi="宋体"/>
          <w:snapToGrid w:val="0"/>
          <w:color w:val="000000"/>
          <w:sz w:val="24"/>
        </w:rPr>
      </w:pPr>
      <w:r>
        <w:rPr>
          <w:rFonts w:ascii="宋体" w:hAnsi="宋体"/>
          <w:snapToGrid w:val="0"/>
          <w:color w:val="000000"/>
          <w:sz w:val="24"/>
        </w:rPr>
        <w:t>1.</w:t>
      </w:r>
      <w:r>
        <w:rPr>
          <w:rFonts w:hint="eastAsia" w:ascii="宋体" w:hAnsi="宋体"/>
          <w:snapToGrid w:val="0"/>
          <w:color w:val="000000"/>
          <w:sz w:val="24"/>
        </w:rPr>
        <w:t>以直肠癌（</w:t>
      </w:r>
      <w:r>
        <w:rPr>
          <w:rFonts w:ascii="宋体" w:hAnsi="宋体"/>
          <w:snapToGrid w:val="0"/>
          <w:color w:val="000000"/>
          <w:sz w:val="24"/>
        </w:rPr>
        <w:t>ICD</w:t>
      </w:r>
      <w:r>
        <w:rPr>
          <w:rFonts w:hint="eastAsia" w:ascii="宋体" w:hAnsi="宋体"/>
          <w:snapToGrid w:val="0"/>
          <w:color w:val="000000"/>
          <w:sz w:val="24"/>
        </w:rPr>
        <w:t>-</w:t>
      </w:r>
      <w:r>
        <w:rPr>
          <w:rFonts w:ascii="宋体" w:hAnsi="宋体"/>
          <w:snapToGrid w:val="0"/>
          <w:color w:val="000000"/>
          <w:sz w:val="24"/>
        </w:rPr>
        <w:t>10</w:t>
      </w:r>
      <w:r>
        <w:rPr>
          <w:rFonts w:hint="eastAsia" w:ascii="宋体" w:hAnsi="宋体"/>
          <w:snapToGrid w:val="0"/>
          <w:color w:val="000000"/>
          <w:sz w:val="24"/>
        </w:rPr>
        <w:t>：C20）为第一诊断，行直肠癌腹会阴联合切除手术（ICD-9-CM-3:48.49或48.65）的患者。</w:t>
      </w:r>
    </w:p>
    <w:p>
      <w:pPr>
        <w:adjustRightInd w:val="0"/>
        <w:snapToGrid w:val="0"/>
        <w:spacing w:line="430" w:lineRule="exact"/>
        <w:ind w:firstLine="480" w:firstLineChars="200"/>
        <w:rPr>
          <w:rFonts w:ascii="宋体" w:hAnsi="宋体"/>
          <w:snapToGrid w:val="0"/>
          <w:color w:val="000000"/>
          <w:kern w:val="0"/>
          <w:sz w:val="24"/>
        </w:rPr>
      </w:pPr>
      <w:r>
        <w:rPr>
          <w:rFonts w:ascii="宋体" w:hAnsi="宋体"/>
          <w:snapToGrid w:val="0"/>
          <w:color w:val="000000"/>
          <w:kern w:val="0"/>
          <w:sz w:val="24"/>
        </w:rPr>
        <w:t>2.</w:t>
      </w:r>
      <w:r>
        <w:rPr>
          <w:rFonts w:hint="eastAsia" w:ascii="宋体" w:hAnsi="宋体"/>
          <w:snapToGrid w:val="0"/>
          <w:color w:val="000000"/>
          <w:kern w:val="0"/>
          <w:sz w:val="24"/>
        </w:rPr>
        <w:t>可</w:t>
      </w:r>
      <w:r>
        <w:rPr>
          <w:rFonts w:ascii="宋体" w:hAnsi="宋体"/>
          <w:snapToGrid w:val="0"/>
          <w:color w:val="000000"/>
          <w:kern w:val="0"/>
          <w:sz w:val="24"/>
        </w:rPr>
        <w:t>R0</w:t>
      </w:r>
      <w:r>
        <w:rPr>
          <w:rFonts w:hint="eastAsia" w:ascii="宋体" w:hAnsi="宋体"/>
          <w:snapToGrid w:val="0"/>
          <w:color w:val="000000"/>
          <w:kern w:val="0"/>
          <w:sz w:val="24"/>
        </w:rPr>
        <w:t>切除的低位直肠癌（Ⅰ期及部分Ⅱ、</w:t>
      </w:r>
      <w:r>
        <w:rPr>
          <w:rFonts w:ascii="宋体" w:hAnsi="宋体"/>
          <w:snapToGrid w:val="0"/>
          <w:color w:val="000000"/>
          <w:kern w:val="0"/>
          <w:sz w:val="24"/>
        </w:rPr>
        <w:t>III</w:t>
      </w:r>
      <w:r>
        <w:rPr>
          <w:rFonts w:hint="eastAsia" w:ascii="宋体" w:hAnsi="宋体"/>
          <w:snapToGrid w:val="0"/>
          <w:color w:val="000000"/>
          <w:kern w:val="0"/>
          <w:sz w:val="24"/>
        </w:rPr>
        <w:t>期患者）。</w:t>
      </w:r>
    </w:p>
    <w:p>
      <w:pPr>
        <w:adjustRightInd w:val="0"/>
        <w:snapToGrid w:val="0"/>
        <w:spacing w:line="430" w:lineRule="exact"/>
        <w:ind w:firstLine="480" w:firstLineChars="200"/>
        <w:rPr>
          <w:rFonts w:ascii="宋体" w:hAnsi="宋体"/>
          <w:snapToGrid w:val="0"/>
          <w:color w:val="000000"/>
          <w:kern w:val="0"/>
          <w:sz w:val="24"/>
        </w:rPr>
      </w:pPr>
      <w:r>
        <w:rPr>
          <w:rFonts w:hint="eastAsia" w:ascii="宋体" w:hAnsi="宋体"/>
          <w:snapToGrid w:val="0"/>
          <w:color w:val="000000"/>
          <w:kern w:val="0"/>
          <w:sz w:val="24"/>
        </w:rPr>
        <w:t>在定点医疗机构实施手术治疗发生的费用纳入新农合重大疾病按病种付费范围。</w:t>
      </w:r>
    </w:p>
    <w:p>
      <w:pPr>
        <w:adjustRightInd w:val="0"/>
        <w:snapToGrid w:val="0"/>
        <w:spacing w:line="430" w:lineRule="exact"/>
        <w:ind w:firstLine="480" w:firstLineChars="200"/>
        <w:rPr>
          <w:rFonts w:hint="eastAsia" w:ascii="方正楷体简体" w:hAnsi="宋体" w:eastAsia="方正楷体简体"/>
          <w:snapToGrid w:val="0"/>
          <w:color w:val="000000"/>
          <w:kern w:val="0"/>
          <w:sz w:val="24"/>
        </w:rPr>
      </w:pPr>
      <w:r>
        <w:rPr>
          <w:rFonts w:hint="eastAsia" w:ascii="方正楷体简体" w:hAnsi="宋体" w:eastAsia="方正楷体简体"/>
          <w:snapToGrid w:val="0"/>
          <w:color w:val="000000"/>
          <w:kern w:val="0"/>
          <w:sz w:val="24"/>
        </w:rPr>
        <w:t>（二）支付条件。</w:t>
      </w:r>
    </w:p>
    <w:p>
      <w:pPr>
        <w:adjustRightInd w:val="0"/>
        <w:snapToGrid w:val="0"/>
        <w:spacing w:line="430" w:lineRule="exact"/>
        <w:ind w:firstLine="480" w:firstLineChars="200"/>
        <w:rPr>
          <w:rFonts w:ascii="宋体" w:hAnsi="宋体"/>
          <w:snapToGrid w:val="0"/>
          <w:color w:val="000000"/>
          <w:kern w:val="0"/>
          <w:sz w:val="24"/>
        </w:rPr>
      </w:pPr>
      <w:r>
        <w:rPr>
          <w:rFonts w:hint="eastAsia" w:ascii="宋体" w:hAnsi="宋体"/>
          <w:snapToGrid w:val="0"/>
          <w:color w:val="000000"/>
          <w:kern w:val="0"/>
          <w:sz w:val="24"/>
        </w:rPr>
        <w:t>治疗过程需严格按照《直肠癌低位前切除手术临床路径（2012年版）》、《直肠癌腹会阴联合切除手术临床路径》执行，方可实行按病种付。</w:t>
      </w:r>
    </w:p>
    <w:p>
      <w:pPr>
        <w:pStyle w:val="5"/>
        <w:adjustRightInd w:val="0"/>
        <w:snapToGrid w:val="0"/>
        <w:spacing w:line="430" w:lineRule="exact"/>
        <w:ind w:firstLine="480"/>
        <w:rPr>
          <w:rFonts w:hint="eastAsia" w:ascii="方正楷体简体" w:hAnsi="宋体" w:eastAsia="方正楷体简体"/>
          <w:snapToGrid w:val="0"/>
          <w:color w:val="000000"/>
          <w:kern w:val="0"/>
          <w:sz w:val="24"/>
        </w:rPr>
      </w:pPr>
      <w:r>
        <w:rPr>
          <w:rFonts w:hint="eastAsia" w:ascii="方正楷体简体" w:hAnsi="宋体" w:eastAsia="方正楷体简体"/>
          <w:snapToGrid w:val="0"/>
          <w:color w:val="000000"/>
          <w:kern w:val="0"/>
          <w:sz w:val="24"/>
        </w:rPr>
        <w:t>（三）支付标准。</w:t>
      </w:r>
    </w:p>
    <w:p>
      <w:pPr>
        <w:adjustRightInd w:val="0"/>
        <w:snapToGrid w:val="0"/>
        <w:spacing w:line="430" w:lineRule="exact"/>
        <w:ind w:firstLine="480" w:firstLineChars="200"/>
        <w:rPr>
          <w:rFonts w:ascii="宋体" w:hAnsi="宋体"/>
          <w:snapToGrid w:val="0"/>
          <w:color w:val="000000"/>
          <w:kern w:val="0"/>
          <w:sz w:val="24"/>
        </w:rPr>
      </w:pPr>
      <w:r>
        <w:rPr>
          <w:rFonts w:hint="eastAsia" w:ascii="宋体" w:hAnsi="宋体"/>
          <w:snapToGrid w:val="0"/>
          <w:color w:val="000000"/>
          <w:kern w:val="0"/>
          <w:sz w:val="24"/>
        </w:rPr>
        <w:t xml:space="preserve">支付的费用包括患者每次住院期间发生的费用（含术后1个周期的化疗）。医院应按照定额支付标准收取费用，其中三级医院相应标准的70%，二级医院相应标准的75%由新农合基金支付。 </w:t>
      </w:r>
    </w:p>
    <w:p>
      <w:pPr>
        <w:spacing w:line="430" w:lineRule="exact"/>
        <w:ind w:firstLine="120" w:firstLineChars="50"/>
        <w:jc w:val="center"/>
        <w:rPr>
          <w:rFonts w:hint="eastAsia" w:ascii="宋体" w:hAnsi="宋体"/>
          <w:sz w:val="24"/>
        </w:rPr>
      </w:pPr>
      <w:r>
        <w:rPr>
          <w:rFonts w:hint="eastAsia" w:ascii="宋体" w:hAnsi="宋体"/>
          <w:sz w:val="24"/>
        </w:rPr>
        <w:t>表9 直肠癌住院治疗费用的定额支付标准</w:t>
      </w:r>
    </w:p>
    <w:tbl>
      <w:tblPr>
        <w:tblStyle w:val="4"/>
        <w:tblW w:w="7484" w:type="dxa"/>
        <w:jc w:val="center"/>
        <w:tblInd w:w="0" w:type="dxa"/>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
      <w:tblGrid>
        <w:gridCol w:w="1232"/>
        <w:gridCol w:w="1042"/>
        <w:gridCol w:w="1042"/>
        <w:gridCol w:w="1042"/>
        <w:gridCol w:w="1042"/>
        <w:gridCol w:w="1042"/>
        <w:gridCol w:w="1042"/>
      </w:tblGrid>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Ex>
        <w:trPr>
          <w:trHeight w:val="675" w:hRule="atLeast"/>
          <w:jc w:val="center"/>
        </w:trPr>
        <w:tc>
          <w:tcPr>
            <w:tcW w:w="1232" w:type="dxa"/>
            <w:tcBorders>
              <w:top w:val="single" w:color="auto" w:sz="4" w:space="0"/>
              <w:bottom w:val="single" w:color="auto" w:sz="4" w:space="0"/>
            </w:tcBorders>
            <w:vAlign w:val="center"/>
          </w:tcPr>
          <w:p>
            <w:pPr>
              <w:widowControl/>
              <w:spacing w:line="410" w:lineRule="exact"/>
              <w:jc w:val="left"/>
              <w:rPr>
                <w:rFonts w:ascii="宋体" w:hAnsi="宋体" w:cs="宋体"/>
                <w:kern w:val="0"/>
                <w:szCs w:val="21"/>
              </w:rPr>
            </w:pPr>
            <w:r>
              <w:rPr>
                <w:rFonts w:hint="eastAsia" w:ascii="宋体" w:hAnsi="宋体" w:cs="宋体"/>
                <w:kern w:val="0"/>
                <w:szCs w:val="21"/>
              </w:rPr>
              <w:t>　</w:t>
            </w:r>
          </w:p>
        </w:tc>
        <w:tc>
          <w:tcPr>
            <w:tcW w:w="2084" w:type="dxa"/>
            <w:gridSpan w:val="2"/>
            <w:tcBorders>
              <w:top w:val="single" w:color="auto" w:sz="4" w:space="0"/>
              <w:bottom w:val="single" w:color="auto" w:sz="4" w:space="0"/>
            </w:tcBorders>
            <w:vAlign w:val="center"/>
          </w:tcPr>
          <w:p>
            <w:pPr>
              <w:widowControl/>
              <w:spacing w:line="410" w:lineRule="exact"/>
              <w:jc w:val="center"/>
              <w:rPr>
                <w:rFonts w:hint="eastAsia" w:ascii="宋体" w:hAnsi="宋体" w:cs="宋体"/>
                <w:b/>
                <w:bCs/>
                <w:kern w:val="0"/>
                <w:szCs w:val="21"/>
              </w:rPr>
            </w:pPr>
            <w:r>
              <w:rPr>
                <w:rFonts w:hint="eastAsia" w:ascii="宋体" w:hAnsi="宋体" w:cs="宋体"/>
                <w:b/>
                <w:bCs/>
                <w:kern w:val="0"/>
                <w:szCs w:val="21"/>
              </w:rPr>
              <w:t>省级定点救治医院</w:t>
            </w:r>
          </w:p>
          <w:p>
            <w:pPr>
              <w:widowControl/>
              <w:spacing w:line="410" w:lineRule="exact"/>
              <w:jc w:val="center"/>
              <w:rPr>
                <w:rFonts w:ascii="宋体" w:hAnsi="宋体" w:cs="宋体"/>
                <w:b/>
                <w:bCs/>
                <w:kern w:val="0"/>
                <w:szCs w:val="21"/>
              </w:rPr>
            </w:pPr>
            <w:r>
              <w:rPr>
                <w:rFonts w:hint="eastAsia" w:ascii="宋体" w:hAnsi="宋体" w:cs="宋体"/>
                <w:b/>
                <w:bCs/>
                <w:kern w:val="0"/>
                <w:szCs w:val="21"/>
              </w:rPr>
              <w:t xml:space="preserve">（万元）   </w:t>
            </w:r>
          </w:p>
        </w:tc>
        <w:tc>
          <w:tcPr>
            <w:tcW w:w="2084" w:type="dxa"/>
            <w:gridSpan w:val="2"/>
            <w:tcBorders>
              <w:top w:val="single" w:color="auto" w:sz="4" w:space="0"/>
              <w:bottom w:val="single" w:color="auto" w:sz="4" w:space="0"/>
            </w:tcBorders>
            <w:vAlign w:val="center"/>
          </w:tcPr>
          <w:p>
            <w:pPr>
              <w:widowControl/>
              <w:spacing w:line="410" w:lineRule="exact"/>
              <w:jc w:val="center"/>
              <w:rPr>
                <w:rFonts w:ascii="宋体" w:hAnsi="宋体" w:cs="宋体"/>
                <w:b/>
                <w:bCs/>
                <w:kern w:val="0"/>
                <w:szCs w:val="21"/>
              </w:rPr>
            </w:pPr>
            <w:r>
              <w:rPr>
                <w:rFonts w:hint="eastAsia" w:ascii="宋体" w:hAnsi="宋体" w:cs="宋体"/>
                <w:b/>
                <w:bCs/>
                <w:kern w:val="0"/>
                <w:szCs w:val="21"/>
              </w:rPr>
              <w:t xml:space="preserve">  三级医院（万元）</w:t>
            </w:r>
          </w:p>
        </w:tc>
        <w:tc>
          <w:tcPr>
            <w:tcW w:w="2084" w:type="dxa"/>
            <w:gridSpan w:val="2"/>
            <w:tcBorders>
              <w:top w:val="single" w:color="auto" w:sz="4" w:space="0"/>
              <w:bottom w:val="single" w:color="auto" w:sz="4" w:space="0"/>
            </w:tcBorders>
            <w:vAlign w:val="center"/>
          </w:tcPr>
          <w:p>
            <w:pPr>
              <w:widowControl/>
              <w:spacing w:line="410" w:lineRule="exact"/>
              <w:jc w:val="center"/>
              <w:rPr>
                <w:rFonts w:ascii="宋体" w:hAnsi="宋体" w:cs="宋体"/>
                <w:b/>
                <w:bCs/>
                <w:kern w:val="0"/>
                <w:szCs w:val="21"/>
              </w:rPr>
            </w:pPr>
            <w:r>
              <w:rPr>
                <w:rFonts w:hint="eastAsia" w:ascii="宋体" w:hAnsi="宋体" w:cs="宋体"/>
                <w:b/>
                <w:bCs/>
                <w:kern w:val="0"/>
                <w:szCs w:val="21"/>
              </w:rPr>
              <w:t>二级医院（万元）</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Ex>
        <w:trPr>
          <w:trHeight w:val="510" w:hRule="atLeast"/>
          <w:jc w:val="center"/>
        </w:trPr>
        <w:tc>
          <w:tcPr>
            <w:tcW w:w="1232" w:type="dxa"/>
            <w:tcBorders>
              <w:top w:val="single" w:color="auto" w:sz="4" w:space="0"/>
            </w:tcBorders>
            <w:vAlign w:val="center"/>
          </w:tcPr>
          <w:p>
            <w:pPr>
              <w:widowControl/>
              <w:spacing w:line="410" w:lineRule="exact"/>
              <w:jc w:val="center"/>
              <w:rPr>
                <w:rFonts w:hint="eastAsia" w:ascii="宋体" w:hAnsi="宋体" w:cs="宋体"/>
                <w:b/>
                <w:bCs/>
                <w:kern w:val="0"/>
                <w:szCs w:val="21"/>
              </w:rPr>
            </w:pPr>
            <w:r>
              <w:rPr>
                <w:rFonts w:hint="eastAsia" w:ascii="宋体" w:hAnsi="宋体" w:cs="宋体"/>
                <w:b/>
                <w:bCs/>
                <w:kern w:val="0"/>
                <w:szCs w:val="21"/>
              </w:rPr>
              <w:t>手术</w:t>
            </w:r>
          </w:p>
          <w:p>
            <w:pPr>
              <w:widowControl/>
              <w:spacing w:line="410" w:lineRule="exact"/>
              <w:jc w:val="center"/>
              <w:rPr>
                <w:rFonts w:ascii="宋体" w:hAnsi="宋体" w:cs="宋体"/>
                <w:b/>
                <w:bCs/>
                <w:kern w:val="0"/>
                <w:szCs w:val="21"/>
              </w:rPr>
            </w:pPr>
            <w:r>
              <w:rPr>
                <w:rFonts w:hint="eastAsia" w:ascii="宋体" w:hAnsi="宋体" w:cs="宋体"/>
                <w:b/>
                <w:bCs/>
                <w:kern w:val="0"/>
                <w:szCs w:val="21"/>
              </w:rPr>
              <w:t>方式</w:t>
            </w:r>
          </w:p>
        </w:tc>
        <w:tc>
          <w:tcPr>
            <w:tcW w:w="1042" w:type="dxa"/>
            <w:tcBorders>
              <w:top w:val="single" w:color="auto" w:sz="4" w:space="0"/>
            </w:tcBorders>
            <w:vAlign w:val="center"/>
          </w:tcPr>
          <w:p>
            <w:pPr>
              <w:widowControl/>
              <w:spacing w:line="410" w:lineRule="exact"/>
              <w:jc w:val="center"/>
              <w:rPr>
                <w:rFonts w:hint="eastAsia" w:ascii="宋体" w:hAnsi="宋体" w:cs="宋体"/>
                <w:b/>
                <w:bCs/>
                <w:kern w:val="0"/>
                <w:szCs w:val="21"/>
              </w:rPr>
            </w:pPr>
            <w:r>
              <w:rPr>
                <w:rFonts w:hint="eastAsia" w:ascii="宋体" w:hAnsi="宋体" w:cs="宋体"/>
                <w:b/>
                <w:bCs/>
                <w:kern w:val="0"/>
                <w:szCs w:val="21"/>
              </w:rPr>
              <w:t>支付</w:t>
            </w:r>
          </w:p>
          <w:p>
            <w:pPr>
              <w:widowControl/>
              <w:spacing w:line="410" w:lineRule="exact"/>
              <w:jc w:val="center"/>
              <w:rPr>
                <w:rFonts w:ascii="宋体" w:hAnsi="宋体" w:cs="宋体"/>
                <w:b/>
                <w:bCs/>
                <w:kern w:val="0"/>
                <w:szCs w:val="21"/>
              </w:rPr>
            </w:pPr>
            <w:r>
              <w:rPr>
                <w:rFonts w:hint="eastAsia" w:ascii="宋体" w:hAnsi="宋体" w:cs="宋体"/>
                <w:b/>
                <w:bCs/>
                <w:kern w:val="0"/>
                <w:szCs w:val="21"/>
              </w:rPr>
              <w:t>标准</w:t>
            </w:r>
          </w:p>
        </w:tc>
        <w:tc>
          <w:tcPr>
            <w:tcW w:w="1042" w:type="dxa"/>
            <w:tcBorders>
              <w:top w:val="single" w:color="auto" w:sz="4" w:space="0"/>
            </w:tcBorders>
            <w:vAlign w:val="center"/>
          </w:tcPr>
          <w:p>
            <w:pPr>
              <w:widowControl/>
              <w:spacing w:line="410" w:lineRule="exact"/>
              <w:jc w:val="center"/>
              <w:rPr>
                <w:rFonts w:hint="eastAsia" w:ascii="宋体" w:hAnsi="宋体" w:cs="宋体"/>
                <w:b/>
                <w:bCs/>
                <w:kern w:val="0"/>
                <w:szCs w:val="21"/>
              </w:rPr>
            </w:pPr>
            <w:r>
              <w:rPr>
                <w:rFonts w:hint="eastAsia" w:ascii="宋体" w:hAnsi="宋体" w:cs="宋体"/>
                <w:b/>
                <w:bCs/>
                <w:kern w:val="0"/>
                <w:szCs w:val="21"/>
              </w:rPr>
              <w:t>新农合</w:t>
            </w:r>
          </w:p>
          <w:p>
            <w:pPr>
              <w:widowControl/>
              <w:spacing w:line="410" w:lineRule="exact"/>
              <w:jc w:val="center"/>
              <w:rPr>
                <w:rFonts w:ascii="宋体" w:hAnsi="宋体" w:cs="宋体"/>
                <w:b/>
                <w:bCs/>
                <w:kern w:val="0"/>
                <w:szCs w:val="21"/>
              </w:rPr>
            </w:pPr>
            <w:r>
              <w:rPr>
                <w:rFonts w:hint="eastAsia" w:ascii="宋体" w:hAnsi="宋体" w:cs="宋体"/>
                <w:b/>
                <w:bCs/>
                <w:kern w:val="0"/>
                <w:szCs w:val="21"/>
              </w:rPr>
              <w:t>支付</w:t>
            </w:r>
          </w:p>
        </w:tc>
        <w:tc>
          <w:tcPr>
            <w:tcW w:w="1042" w:type="dxa"/>
            <w:tcBorders>
              <w:top w:val="single" w:color="auto" w:sz="4" w:space="0"/>
            </w:tcBorders>
            <w:vAlign w:val="center"/>
          </w:tcPr>
          <w:p>
            <w:pPr>
              <w:widowControl/>
              <w:spacing w:line="410" w:lineRule="exact"/>
              <w:jc w:val="center"/>
              <w:rPr>
                <w:rFonts w:hint="eastAsia" w:ascii="宋体" w:hAnsi="宋体" w:cs="宋体"/>
                <w:b/>
                <w:bCs/>
                <w:kern w:val="0"/>
                <w:szCs w:val="21"/>
              </w:rPr>
            </w:pPr>
            <w:r>
              <w:rPr>
                <w:rFonts w:hint="eastAsia" w:ascii="宋体" w:hAnsi="宋体" w:cs="宋体"/>
                <w:b/>
                <w:bCs/>
                <w:kern w:val="0"/>
                <w:szCs w:val="21"/>
              </w:rPr>
              <w:t>支付</w:t>
            </w:r>
          </w:p>
          <w:p>
            <w:pPr>
              <w:widowControl/>
              <w:spacing w:line="410" w:lineRule="exact"/>
              <w:jc w:val="center"/>
              <w:rPr>
                <w:rFonts w:ascii="宋体" w:hAnsi="宋体" w:cs="宋体"/>
                <w:b/>
                <w:bCs/>
                <w:kern w:val="0"/>
                <w:szCs w:val="21"/>
              </w:rPr>
            </w:pPr>
            <w:r>
              <w:rPr>
                <w:rFonts w:hint="eastAsia" w:ascii="宋体" w:hAnsi="宋体" w:cs="宋体"/>
                <w:b/>
                <w:bCs/>
                <w:kern w:val="0"/>
                <w:szCs w:val="21"/>
              </w:rPr>
              <w:t>标准</w:t>
            </w:r>
          </w:p>
        </w:tc>
        <w:tc>
          <w:tcPr>
            <w:tcW w:w="1042" w:type="dxa"/>
            <w:tcBorders>
              <w:top w:val="single" w:color="auto" w:sz="4" w:space="0"/>
            </w:tcBorders>
            <w:vAlign w:val="center"/>
          </w:tcPr>
          <w:p>
            <w:pPr>
              <w:widowControl/>
              <w:spacing w:line="410" w:lineRule="exact"/>
              <w:jc w:val="center"/>
              <w:rPr>
                <w:rFonts w:hint="eastAsia" w:ascii="宋体" w:hAnsi="宋体" w:cs="宋体"/>
                <w:b/>
                <w:bCs/>
                <w:kern w:val="0"/>
                <w:szCs w:val="21"/>
              </w:rPr>
            </w:pPr>
            <w:r>
              <w:rPr>
                <w:rFonts w:hint="eastAsia" w:ascii="宋体" w:hAnsi="宋体" w:cs="宋体"/>
                <w:b/>
                <w:bCs/>
                <w:kern w:val="0"/>
                <w:szCs w:val="21"/>
              </w:rPr>
              <w:t>新农合</w:t>
            </w:r>
          </w:p>
          <w:p>
            <w:pPr>
              <w:widowControl/>
              <w:spacing w:line="410" w:lineRule="exact"/>
              <w:jc w:val="center"/>
              <w:rPr>
                <w:rFonts w:ascii="宋体" w:hAnsi="宋体" w:cs="宋体"/>
                <w:b/>
                <w:bCs/>
                <w:kern w:val="0"/>
                <w:szCs w:val="21"/>
              </w:rPr>
            </w:pPr>
            <w:r>
              <w:rPr>
                <w:rFonts w:hint="eastAsia" w:ascii="宋体" w:hAnsi="宋体" w:cs="宋体"/>
                <w:b/>
                <w:bCs/>
                <w:kern w:val="0"/>
                <w:szCs w:val="21"/>
              </w:rPr>
              <w:t>支付</w:t>
            </w:r>
          </w:p>
        </w:tc>
        <w:tc>
          <w:tcPr>
            <w:tcW w:w="1042" w:type="dxa"/>
            <w:tcBorders>
              <w:top w:val="single" w:color="auto" w:sz="4" w:space="0"/>
            </w:tcBorders>
            <w:vAlign w:val="center"/>
          </w:tcPr>
          <w:p>
            <w:pPr>
              <w:widowControl/>
              <w:spacing w:line="410" w:lineRule="exact"/>
              <w:jc w:val="center"/>
              <w:rPr>
                <w:rFonts w:hint="eastAsia" w:ascii="宋体" w:hAnsi="宋体" w:cs="宋体"/>
                <w:b/>
                <w:bCs/>
                <w:kern w:val="0"/>
                <w:szCs w:val="21"/>
              </w:rPr>
            </w:pPr>
            <w:r>
              <w:rPr>
                <w:rFonts w:hint="eastAsia" w:ascii="宋体" w:hAnsi="宋体" w:cs="宋体"/>
                <w:b/>
                <w:bCs/>
                <w:kern w:val="0"/>
                <w:szCs w:val="21"/>
              </w:rPr>
              <w:t>支付</w:t>
            </w:r>
          </w:p>
          <w:p>
            <w:pPr>
              <w:widowControl/>
              <w:spacing w:line="410" w:lineRule="exact"/>
              <w:jc w:val="center"/>
              <w:rPr>
                <w:rFonts w:ascii="宋体" w:hAnsi="宋体" w:cs="宋体"/>
                <w:b/>
                <w:bCs/>
                <w:kern w:val="0"/>
                <w:szCs w:val="21"/>
              </w:rPr>
            </w:pPr>
            <w:r>
              <w:rPr>
                <w:rFonts w:hint="eastAsia" w:ascii="宋体" w:hAnsi="宋体" w:cs="宋体"/>
                <w:b/>
                <w:bCs/>
                <w:kern w:val="0"/>
                <w:szCs w:val="21"/>
              </w:rPr>
              <w:t>标准</w:t>
            </w:r>
          </w:p>
        </w:tc>
        <w:tc>
          <w:tcPr>
            <w:tcW w:w="1042" w:type="dxa"/>
            <w:tcBorders>
              <w:top w:val="single" w:color="auto" w:sz="4" w:space="0"/>
            </w:tcBorders>
            <w:vAlign w:val="center"/>
          </w:tcPr>
          <w:p>
            <w:pPr>
              <w:widowControl/>
              <w:spacing w:line="410" w:lineRule="exact"/>
              <w:jc w:val="center"/>
              <w:rPr>
                <w:rFonts w:hint="eastAsia" w:ascii="宋体" w:hAnsi="宋体" w:cs="宋体"/>
                <w:b/>
                <w:bCs/>
                <w:kern w:val="0"/>
                <w:szCs w:val="21"/>
              </w:rPr>
            </w:pPr>
            <w:r>
              <w:rPr>
                <w:rFonts w:hint="eastAsia" w:ascii="宋体" w:hAnsi="宋体" w:cs="宋体"/>
                <w:b/>
                <w:bCs/>
                <w:kern w:val="0"/>
                <w:szCs w:val="21"/>
              </w:rPr>
              <w:t>新农合</w:t>
            </w:r>
          </w:p>
          <w:p>
            <w:pPr>
              <w:widowControl/>
              <w:spacing w:line="410" w:lineRule="exact"/>
              <w:jc w:val="center"/>
              <w:rPr>
                <w:rFonts w:ascii="宋体" w:hAnsi="宋体" w:cs="宋体"/>
                <w:b/>
                <w:bCs/>
                <w:kern w:val="0"/>
                <w:szCs w:val="21"/>
              </w:rPr>
            </w:pPr>
            <w:r>
              <w:rPr>
                <w:rFonts w:hint="eastAsia" w:ascii="宋体" w:hAnsi="宋体" w:cs="宋体"/>
                <w:b/>
                <w:bCs/>
                <w:kern w:val="0"/>
                <w:szCs w:val="21"/>
              </w:rPr>
              <w:t>支付</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Ex>
        <w:trPr>
          <w:trHeight w:val="510" w:hRule="atLeast"/>
          <w:jc w:val="center"/>
        </w:trPr>
        <w:tc>
          <w:tcPr>
            <w:tcW w:w="1232" w:type="dxa"/>
            <w:vAlign w:val="center"/>
          </w:tcPr>
          <w:p>
            <w:pPr>
              <w:widowControl/>
              <w:spacing w:line="410" w:lineRule="exact"/>
              <w:jc w:val="center"/>
              <w:rPr>
                <w:rFonts w:ascii="宋体" w:hAnsi="宋体" w:cs="宋体"/>
                <w:b/>
                <w:bCs/>
                <w:kern w:val="0"/>
                <w:szCs w:val="21"/>
              </w:rPr>
            </w:pPr>
            <w:r>
              <w:rPr>
                <w:rFonts w:hint="eastAsia" w:ascii="宋体" w:hAnsi="宋体" w:cs="宋体"/>
                <w:b/>
                <w:bCs/>
                <w:kern w:val="0"/>
                <w:szCs w:val="21"/>
              </w:rPr>
              <w:t>腹会阴联合切除手术</w:t>
            </w:r>
          </w:p>
        </w:tc>
        <w:tc>
          <w:tcPr>
            <w:tcW w:w="1042" w:type="dxa"/>
            <w:vAlign w:val="center"/>
          </w:tcPr>
          <w:p>
            <w:pPr>
              <w:widowControl/>
              <w:spacing w:line="410" w:lineRule="exact"/>
              <w:jc w:val="center"/>
              <w:rPr>
                <w:rFonts w:ascii="宋体" w:hAnsi="宋体"/>
                <w:bCs/>
                <w:kern w:val="0"/>
                <w:szCs w:val="21"/>
              </w:rPr>
            </w:pPr>
            <w:r>
              <w:rPr>
                <w:rFonts w:ascii="宋体" w:hAnsi="宋体"/>
                <w:bCs/>
                <w:kern w:val="0"/>
                <w:szCs w:val="21"/>
              </w:rPr>
              <w:t>3.9</w:t>
            </w:r>
          </w:p>
        </w:tc>
        <w:tc>
          <w:tcPr>
            <w:tcW w:w="1042" w:type="dxa"/>
            <w:vAlign w:val="center"/>
          </w:tcPr>
          <w:p>
            <w:pPr>
              <w:widowControl/>
              <w:spacing w:line="410" w:lineRule="exact"/>
              <w:jc w:val="center"/>
              <w:rPr>
                <w:rFonts w:ascii="宋体" w:hAnsi="宋体"/>
                <w:bCs/>
                <w:kern w:val="0"/>
                <w:szCs w:val="21"/>
              </w:rPr>
            </w:pPr>
            <w:r>
              <w:rPr>
                <w:rFonts w:ascii="宋体" w:hAnsi="宋体"/>
                <w:bCs/>
                <w:kern w:val="0"/>
                <w:szCs w:val="21"/>
              </w:rPr>
              <w:t>2.73</w:t>
            </w:r>
          </w:p>
        </w:tc>
        <w:tc>
          <w:tcPr>
            <w:tcW w:w="1042" w:type="dxa"/>
            <w:vAlign w:val="center"/>
          </w:tcPr>
          <w:p>
            <w:pPr>
              <w:widowControl/>
              <w:spacing w:line="410" w:lineRule="exact"/>
              <w:jc w:val="center"/>
              <w:rPr>
                <w:rFonts w:ascii="宋体" w:hAnsi="宋体"/>
                <w:kern w:val="0"/>
                <w:szCs w:val="21"/>
              </w:rPr>
            </w:pPr>
            <w:r>
              <w:rPr>
                <w:rFonts w:ascii="宋体" w:hAnsi="宋体"/>
                <w:kern w:val="0"/>
                <w:szCs w:val="21"/>
              </w:rPr>
              <w:t>3.7</w:t>
            </w:r>
          </w:p>
        </w:tc>
        <w:tc>
          <w:tcPr>
            <w:tcW w:w="1042" w:type="dxa"/>
            <w:vAlign w:val="center"/>
          </w:tcPr>
          <w:p>
            <w:pPr>
              <w:widowControl/>
              <w:spacing w:line="410" w:lineRule="exact"/>
              <w:jc w:val="center"/>
              <w:rPr>
                <w:rFonts w:ascii="宋体" w:hAnsi="宋体"/>
                <w:kern w:val="0"/>
                <w:szCs w:val="21"/>
              </w:rPr>
            </w:pPr>
            <w:r>
              <w:rPr>
                <w:rFonts w:ascii="宋体" w:hAnsi="宋体"/>
                <w:kern w:val="0"/>
                <w:szCs w:val="21"/>
              </w:rPr>
              <w:t>2.</w:t>
            </w:r>
            <w:r>
              <w:rPr>
                <w:rFonts w:hint="eastAsia" w:ascii="宋体" w:hAnsi="宋体"/>
                <w:kern w:val="0"/>
                <w:szCs w:val="21"/>
              </w:rPr>
              <w:t>59</w:t>
            </w:r>
          </w:p>
        </w:tc>
        <w:tc>
          <w:tcPr>
            <w:tcW w:w="1042" w:type="dxa"/>
            <w:vAlign w:val="center"/>
          </w:tcPr>
          <w:p>
            <w:pPr>
              <w:widowControl/>
              <w:spacing w:line="410" w:lineRule="exact"/>
              <w:jc w:val="center"/>
              <w:rPr>
                <w:rFonts w:ascii="宋体" w:hAnsi="宋体"/>
                <w:kern w:val="0"/>
                <w:szCs w:val="21"/>
              </w:rPr>
            </w:pPr>
            <w:r>
              <w:rPr>
                <w:rFonts w:ascii="宋体" w:hAnsi="宋体"/>
                <w:kern w:val="0"/>
                <w:szCs w:val="21"/>
              </w:rPr>
              <w:t>3</w:t>
            </w:r>
            <w:r>
              <w:rPr>
                <w:rFonts w:hint="eastAsia" w:ascii="宋体" w:hAnsi="宋体"/>
                <w:kern w:val="0"/>
                <w:szCs w:val="21"/>
              </w:rPr>
              <w:t>.0</w:t>
            </w:r>
          </w:p>
        </w:tc>
        <w:tc>
          <w:tcPr>
            <w:tcW w:w="1042" w:type="dxa"/>
            <w:vAlign w:val="center"/>
          </w:tcPr>
          <w:p>
            <w:pPr>
              <w:widowControl/>
              <w:spacing w:line="410" w:lineRule="exact"/>
              <w:jc w:val="center"/>
              <w:rPr>
                <w:rFonts w:ascii="宋体" w:hAnsi="宋体"/>
                <w:kern w:val="0"/>
                <w:szCs w:val="21"/>
              </w:rPr>
            </w:pPr>
            <w:r>
              <w:rPr>
                <w:rFonts w:ascii="宋体" w:hAnsi="宋体"/>
                <w:kern w:val="0"/>
                <w:szCs w:val="21"/>
              </w:rPr>
              <w:t>2.25</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Ex>
        <w:trPr>
          <w:trHeight w:val="479" w:hRule="atLeast"/>
          <w:jc w:val="center"/>
        </w:trPr>
        <w:tc>
          <w:tcPr>
            <w:tcW w:w="1232" w:type="dxa"/>
            <w:tcBorders>
              <w:bottom w:val="single" w:color="auto" w:sz="4" w:space="0"/>
            </w:tcBorders>
            <w:vAlign w:val="center"/>
          </w:tcPr>
          <w:p>
            <w:pPr>
              <w:widowControl/>
              <w:spacing w:line="410" w:lineRule="exact"/>
              <w:jc w:val="center"/>
              <w:rPr>
                <w:rFonts w:ascii="宋体" w:hAnsi="宋体" w:cs="宋体"/>
                <w:b/>
                <w:bCs/>
                <w:kern w:val="0"/>
                <w:szCs w:val="21"/>
              </w:rPr>
            </w:pPr>
            <w:r>
              <w:rPr>
                <w:rFonts w:hint="eastAsia" w:ascii="宋体" w:hAnsi="宋体" w:cs="宋体"/>
                <w:b/>
                <w:bCs/>
                <w:kern w:val="0"/>
                <w:szCs w:val="21"/>
              </w:rPr>
              <w:t>低位前切术</w:t>
            </w:r>
          </w:p>
        </w:tc>
        <w:tc>
          <w:tcPr>
            <w:tcW w:w="1042" w:type="dxa"/>
            <w:tcBorders>
              <w:bottom w:val="single" w:color="auto" w:sz="4" w:space="0"/>
            </w:tcBorders>
            <w:vAlign w:val="center"/>
          </w:tcPr>
          <w:p>
            <w:pPr>
              <w:widowControl/>
              <w:spacing w:line="410" w:lineRule="exact"/>
              <w:jc w:val="center"/>
              <w:rPr>
                <w:rFonts w:ascii="宋体" w:hAnsi="宋体"/>
                <w:kern w:val="0"/>
                <w:szCs w:val="21"/>
              </w:rPr>
            </w:pPr>
            <w:r>
              <w:rPr>
                <w:rFonts w:ascii="宋体" w:hAnsi="宋体"/>
                <w:kern w:val="0"/>
                <w:szCs w:val="21"/>
              </w:rPr>
              <w:t>3.6</w:t>
            </w:r>
          </w:p>
        </w:tc>
        <w:tc>
          <w:tcPr>
            <w:tcW w:w="1042" w:type="dxa"/>
            <w:tcBorders>
              <w:bottom w:val="single" w:color="auto" w:sz="4" w:space="0"/>
            </w:tcBorders>
            <w:vAlign w:val="center"/>
          </w:tcPr>
          <w:p>
            <w:pPr>
              <w:widowControl/>
              <w:spacing w:line="410" w:lineRule="exact"/>
              <w:jc w:val="center"/>
              <w:rPr>
                <w:rFonts w:ascii="宋体" w:hAnsi="宋体"/>
                <w:kern w:val="0"/>
                <w:szCs w:val="21"/>
              </w:rPr>
            </w:pPr>
            <w:r>
              <w:rPr>
                <w:rFonts w:ascii="宋体" w:hAnsi="宋体"/>
                <w:kern w:val="0"/>
                <w:szCs w:val="21"/>
              </w:rPr>
              <w:t>2.52</w:t>
            </w:r>
          </w:p>
        </w:tc>
        <w:tc>
          <w:tcPr>
            <w:tcW w:w="1042" w:type="dxa"/>
            <w:tcBorders>
              <w:bottom w:val="single" w:color="auto" w:sz="4" w:space="0"/>
            </w:tcBorders>
            <w:vAlign w:val="center"/>
          </w:tcPr>
          <w:p>
            <w:pPr>
              <w:widowControl/>
              <w:spacing w:line="410" w:lineRule="exact"/>
              <w:jc w:val="center"/>
              <w:rPr>
                <w:rFonts w:ascii="宋体" w:hAnsi="宋体"/>
                <w:kern w:val="0"/>
                <w:szCs w:val="21"/>
              </w:rPr>
            </w:pPr>
            <w:r>
              <w:rPr>
                <w:rFonts w:ascii="宋体" w:hAnsi="宋体"/>
                <w:kern w:val="0"/>
                <w:szCs w:val="21"/>
              </w:rPr>
              <w:t>3.4</w:t>
            </w:r>
          </w:p>
        </w:tc>
        <w:tc>
          <w:tcPr>
            <w:tcW w:w="1042" w:type="dxa"/>
            <w:tcBorders>
              <w:bottom w:val="single" w:color="auto" w:sz="4" w:space="0"/>
            </w:tcBorders>
            <w:vAlign w:val="center"/>
          </w:tcPr>
          <w:p>
            <w:pPr>
              <w:widowControl/>
              <w:spacing w:line="410" w:lineRule="exact"/>
              <w:jc w:val="center"/>
              <w:rPr>
                <w:rFonts w:ascii="宋体" w:hAnsi="宋体"/>
                <w:kern w:val="0"/>
                <w:szCs w:val="21"/>
              </w:rPr>
            </w:pPr>
            <w:r>
              <w:rPr>
                <w:rFonts w:ascii="宋体" w:hAnsi="宋体"/>
                <w:kern w:val="0"/>
                <w:szCs w:val="21"/>
              </w:rPr>
              <w:t>2.38</w:t>
            </w:r>
          </w:p>
        </w:tc>
        <w:tc>
          <w:tcPr>
            <w:tcW w:w="1042" w:type="dxa"/>
            <w:tcBorders>
              <w:bottom w:val="single" w:color="auto" w:sz="4" w:space="0"/>
            </w:tcBorders>
            <w:vAlign w:val="center"/>
          </w:tcPr>
          <w:p>
            <w:pPr>
              <w:widowControl/>
              <w:spacing w:line="410" w:lineRule="exact"/>
              <w:jc w:val="center"/>
              <w:rPr>
                <w:rFonts w:ascii="宋体" w:hAnsi="宋体"/>
                <w:kern w:val="0"/>
                <w:szCs w:val="21"/>
              </w:rPr>
            </w:pPr>
            <w:r>
              <w:rPr>
                <w:rFonts w:ascii="宋体" w:hAnsi="宋体"/>
                <w:kern w:val="0"/>
                <w:szCs w:val="21"/>
              </w:rPr>
              <w:t>2.7</w:t>
            </w:r>
          </w:p>
        </w:tc>
        <w:tc>
          <w:tcPr>
            <w:tcW w:w="1042" w:type="dxa"/>
            <w:tcBorders>
              <w:bottom w:val="single" w:color="auto" w:sz="4" w:space="0"/>
            </w:tcBorders>
            <w:vAlign w:val="center"/>
          </w:tcPr>
          <w:p>
            <w:pPr>
              <w:widowControl/>
              <w:spacing w:line="410" w:lineRule="exact"/>
              <w:jc w:val="center"/>
              <w:rPr>
                <w:rFonts w:ascii="宋体" w:hAnsi="宋体"/>
                <w:kern w:val="0"/>
                <w:szCs w:val="21"/>
              </w:rPr>
            </w:pPr>
            <w:r>
              <w:rPr>
                <w:rFonts w:ascii="宋体" w:hAnsi="宋体"/>
                <w:kern w:val="0"/>
                <w:szCs w:val="21"/>
              </w:rPr>
              <w:t>2.03</w:t>
            </w:r>
          </w:p>
        </w:tc>
      </w:tr>
    </w:tbl>
    <w:p>
      <w:pPr>
        <w:pStyle w:val="5"/>
        <w:adjustRightInd w:val="0"/>
        <w:snapToGrid w:val="0"/>
        <w:spacing w:line="430" w:lineRule="exact"/>
        <w:ind w:firstLine="480"/>
        <w:rPr>
          <w:rFonts w:hint="eastAsia" w:ascii="黑体" w:hAnsi="宋体" w:eastAsia="黑体"/>
          <w:snapToGrid w:val="0"/>
          <w:color w:val="000000"/>
          <w:kern w:val="0"/>
          <w:sz w:val="24"/>
        </w:rPr>
      </w:pPr>
      <w:r>
        <w:rPr>
          <w:rFonts w:hint="eastAsia" w:ascii="黑体" w:hAnsi="宋体" w:eastAsia="黑体"/>
          <w:snapToGrid w:val="0"/>
          <w:color w:val="000000"/>
          <w:kern w:val="0"/>
          <w:sz w:val="24"/>
        </w:rPr>
        <w:t>十、胃癌</w:t>
      </w:r>
    </w:p>
    <w:p>
      <w:pPr>
        <w:pStyle w:val="5"/>
        <w:adjustRightInd w:val="0"/>
        <w:snapToGrid w:val="0"/>
        <w:spacing w:line="430" w:lineRule="exact"/>
        <w:ind w:firstLine="480"/>
        <w:rPr>
          <w:rFonts w:hint="eastAsia" w:ascii="方正楷体简体" w:hAnsi="宋体" w:eastAsia="方正楷体简体"/>
          <w:snapToGrid w:val="0"/>
          <w:color w:val="000000"/>
          <w:kern w:val="0"/>
          <w:sz w:val="24"/>
        </w:rPr>
      </w:pPr>
      <w:r>
        <w:rPr>
          <w:rFonts w:hint="eastAsia" w:ascii="方正楷体简体" w:hAnsi="宋体" w:eastAsia="方正楷体简体"/>
          <w:snapToGrid w:val="0"/>
          <w:color w:val="000000"/>
          <w:kern w:val="0"/>
          <w:sz w:val="24"/>
        </w:rPr>
        <w:t>（一）适用对象。</w:t>
      </w:r>
    </w:p>
    <w:p>
      <w:pPr>
        <w:pStyle w:val="5"/>
        <w:adjustRightInd w:val="0"/>
        <w:snapToGrid w:val="0"/>
        <w:spacing w:line="430" w:lineRule="exact"/>
        <w:ind w:firstLine="480"/>
        <w:rPr>
          <w:rFonts w:hint="eastAsia" w:ascii="宋体" w:hAnsi="宋体"/>
          <w:snapToGrid w:val="0"/>
          <w:color w:val="000000"/>
          <w:kern w:val="0"/>
          <w:sz w:val="24"/>
        </w:rPr>
      </w:pPr>
      <w:r>
        <w:rPr>
          <w:rFonts w:hint="eastAsia" w:ascii="宋体" w:hAnsi="宋体"/>
          <w:snapToGrid w:val="0"/>
          <w:color w:val="000000"/>
          <w:kern w:val="0"/>
          <w:sz w:val="24"/>
        </w:rPr>
        <w:t>胃癌根治术手术适用对象：</w:t>
      </w:r>
    </w:p>
    <w:p>
      <w:pPr>
        <w:adjustRightInd w:val="0"/>
        <w:snapToGrid w:val="0"/>
        <w:spacing w:line="430" w:lineRule="exact"/>
        <w:ind w:firstLine="480" w:firstLineChars="200"/>
        <w:rPr>
          <w:rFonts w:hint="eastAsia" w:ascii="宋体" w:hAnsi="宋体"/>
          <w:snapToGrid w:val="0"/>
          <w:color w:val="000000"/>
          <w:kern w:val="0"/>
          <w:sz w:val="24"/>
        </w:rPr>
      </w:pPr>
      <w:r>
        <w:rPr>
          <w:rFonts w:hint="eastAsia" w:ascii="宋体" w:hAnsi="宋体"/>
          <w:snapToGrid w:val="0"/>
          <w:color w:val="000000"/>
          <w:kern w:val="0"/>
          <w:sz w:val="24"/>
        </w:rPr>
        <w:t>1.以胃癌（ICD-10:C16）为第一诊断的患者。</w:t>
      </w:r>
    </w:p>
    <w:p>
      <w:pPr>
        <w:adjustRightInd w:val="0"/>
        <w:snapToGrid w:val="0"/>
        <w:spacing w:line="430" w:lineRule="exact"/>
        <w:ind w:firstLine="480" w:firstLineChars="200"/>
        <w:rPr>
          <w:rFonts w:hint="eastAsia" w:ascii="宋体" w:hAnsi="宋体"/>
          <w:snapToGrid w:val="0"/>
          <w:color w:val="000000"/>
          <w:kern w:val="0"/>
          <w:sz w:val="24"/>
        </w:rPr>
      </w:pPr>
      <w:r>
        <w:rPr>
          <w:rFonts w:hint="eastAsia" w:ascii="宋体" w:hAnsi="宋体"/>
          <w:snapToGrid w:val="0"/>
          <w:color w:val="000000"/>
          <w:kern w:val="0"/>
          <w:sz w:val="24"/>
        </w:rPr>
        <w:t>2.行胃癌根治术（ICD-9-CM-3:43.5-43.9）。</w:t>
      </w:r>
    </w:p>
    <w:p>
      <w:pPr>
        <w:adjustRightInd w:val="0"/>
        <w:snapToGrid w:val="0"/>
        <w:spacing w:line="430" w:lineRule="exact"/>
        <w:ind w:firstLine="480" w:firstLineChars="200"/>
        <w:rPr>
          <w:rFonts w:ascii="宋体" w:hAnsi="宋体"/>
          <w:snapToGrid w:val="0"/>
          <w:color w:val="000000"/>
          <w:kern w:val="0"/>
          <w:sz w:val="24"/>
        </w:rPr>
      </w:pPr>
      <w:r>
        <w:rPr>
          <w:rFonts w:hint="eastAsia" w:ascii="宋体" w:hAnsi="宋体"/>
          <w:snapToGrid w:val="0"/>
          <w:color w:val="000000"/>
          <w:kern w:val="0"/>
          <w:sz w:val="24"/>
        </w:rPr>
        <w:t>3.肿瘤分期为T</w:t>
      </w:r>
      <w:r>
        <w:rPr>
          <w:rFonts w:hint="eastAsia" w:ascii="宋体" w:hAnsi="宋体"/>
          <w:snapToGrid w:val="0"/>
          <w:color w:val="000000"/>
          <w:kern w:val="0"/>
          <w:sz w:val="24"/>
          <w:vertAlign w:val="subscript"/>
        </w:rPr>
        <w:t>1-4a</w:t>
      </w:r>
      <w:r>
        <w:rPr>
          <w:rFonts w:hint="eastAsia" w:ascii="宋体" w:hAnsi="宋体"/>
          <w:snapToGrid w:val="0"/>
          <w:color w:val="000000"/>
          <w:kern w:val="0"/>
          <w:sz w:val="24"/>
        </w:rPr>
        <w:t>N</w:t>
      </w:r>
      <w:r>
        <w:rPr>
          <w:rFonts w:hint="eastAsia" w:ascii="宋体" w:hAnsi="宋体"/>
          <w:snapToGrid w:val="0"/>
          <w:color w:val="000000"/>
          <w:kern w:val="0"/>
          <w:sz w:val="24"/>
          <w:vertAlign w:val="subscript"/>
        </w:rPr>
        <w:t>0-3</w:t>
      </w:r>
      <w:r>
        <w:rPr>
          <w:rFonts w:hint="eastAsia" w:ascii="宋体" w:hAnsi="宋体"/>
          <w:snapToGrid w:val="0"/>
          <w:color w:val="000000"/>
          <w:kern w:val="0"/>
          <w:sz w:val="24"/>
        </w:rPr>
        <w:t>M</w:t>
      </w:r>
      <w:r>
        <w:rPr>
          <w:rFonts w:hint="eastAsia" w:ascii="宋体" w:hAnsi="宋体"/>
          <w:snapToGrid w:val="0"/>
          <w:color w:val="000000"/>
          <w:kern w:val="0"/>
          <w:sz w:val="24"/>
          <w:vertAlign w:val="subscript"/>
        </w:rPr>
        <w:t>0</w:t>
      </w:r>
      <w:r>
        <w:rPr>
          <w:rFonts w:hint="eastAsia" w:ascii="宋体" w:hAnsi="宋体"/>
          <w:snapToGrid w:val="0"/>
          <w:color w:val="000000"/>
          <w:kern w:val="0"/>
          <w:sz w:val="24"/>
        </w:rPr>
        <w:t>（根据AJCC第7版）。</w:t>
      </w:r>
    </w:p>
    <w:p>
      <w:pPr>
        <w:pStyle w:val="5"/>
        <w:adjustRightInd w:val="0"/>
        <w:snapToGrid w:val="0"/>
        <w:spacing w:line="430" w:lineRule="exact"/>
        <w:ind w:firstLine="480"/>
        <w:rPr>
          <w:rFonts w:hint="eastAsia" w:ascii="宋体" w:hAnsi="宋体"/>
          <w:snapToGrid w:val="0"/>
          <w:color w:val="000000"/>
          <w:kern w:val="0"/>
          <w:sz w:val="24"/>
        </w:rPr>
      </w:pPr>
      <w:r>
        <w:rPr>
          <w:rFonts w:hint="eastAsia" w:ascii="宋体" w:hAnsi="宋体"/>
          <w:snapToGrid w:val="0"/>
          <w:color w:val="000000"/>
          <w:kern w:val="0"/>
          <w:sz w:val="24"/>
        </w:rPr>
        <w:t>胃癌联合脏器切除术：</w:t>
      </w:r>
    </w:p>
    <w:p>
      <w:pPr>
        <w:adjustRightInd w:val="0"/>
        <w:snapToGrid w:val="0"/>
        <w:spacing w:line="430" w:lineRule="exact"/>
        <w:ind w:firstLine="480" w:firstLineChars="200"/>
        <w:rPr>
          <w:rFonts w:hint="eastAsia" w:ascii="宋体" w:hAnsi="宋体"/>
          <w:snapToGrid w:val="0"/>
          <w:color w:val="000000"/>
          <w:kern w:val="0"/>
          <w:sz w:val="24"/>
        </w:rPr>
      </w:pPr>
      <w:r>
        <w:rPr>
          <w:rFonts w:hint="eastAsia" w:ascii="宋体" w:hAnsi="宋体"/>
          <w:snapToGrid w:val="0"/>
          <w:color w:val="000000"/>
          <w:kern w:val="0"/>
          <w:sz w:val="24"/>
        </w:rPr>
        <w:t>1.以胃癌（ICD-10：C16）为第一诊断的患者。</w:t>
      </w:r>
    </w:p>
    <w:p>
      <w:pPr>
        <w:adjustRightInd w:val="0"/>
        <w:snapToGrid w:val="0"/>
        <w:spacing w:line="430" w:lineRule="exact"/>
        <w:ind w:firstLine="480" w:firstLineChars="200"/>
        <w:rPr>
          <w:rFonts w:hint="eastAsia" w:ascii="宋体" w:hAnsi="宋体"/>
          <w:snapToGrid w:val="0"/>
          <w:color w:val="000000"/>
          <w:kern w:val="0"/>
          <w:sz w:val="24"/>
        </w:rPr>
      </w:pPr>
      <w:r>
        <w:rPr>
          <w:rFonts w:hint="eastAsia" w:ascii="宋体" w:hAnsi="宋体"/>
          <w:snapToGrid w:val="0"/>
          <w:color w:val="000000"/>
          <w:kern w:val="0"/>
          <w:sz w:val="24"/>
        </w:rPr>
        <w:t>2.肿瘤分期为T</w:t>
      </w:r>
      <w:r>
        <w:rPr>
          <w:rFonts w:hint="eastAsia" w:ascii="宋体" w:hAnsi="宋体"/>
          <w:snapToGrid w:val="0"/>
          <w:color w:val="000000"/>
          <w:kern w:val="0"/>
          <w:sz w:val="24"/>
          <w:vertAlign w:val="subscript"/>
        </w:rPr>
        <w:t>4</w:t>
      </w:r>
      <w:r>
        <w:rPr>
          <w:rFonts w:hint="eastAsia" w:ascii="宋体" w:hAnsi="宋体"/>
          <w:snapToGrid w:val="0"/>
          <w:color w:val="000000"/>
          <w:kern w:val="0"/>
          <w:sz w:val="24"/>
        </w:rPr>
        <w:t>，与周围脏器浸润，无远处转移。</w:t>
      </w:r>
    </w:p>
    <w:p>
      <w:pPr>
        <w:adjustRightInd w:val="0"/>
        <w:snapToGrid w:val="0"/>
        <w:spacing w:line="430" w:lineRule="exact"/>
        <w:ind w:firstLine="480" w:firstLineChars="200"/>
        <w:rPr>
          <w:rFonts w:ascii="宋体" w:hAnsi="宋体"/>
          <w:snapToGrid w:val="0"/>
          <w:color w:val="000000"/>
          <w:kern w:val="0"/>
          <w:sz w:val="24"/>
        </w:rPr>
      </w:pPr>
      <w:r>
        <w:rPr>
          <w:rFonts w:hint="eastAsia" w:ascii="宋体" w:hAnsi="宋体"/>
          <w:snapToGrid w:val="0"/>
          <w:color w:val="000000"/>
          <w:kern w:val="0"/>
          <w:sz w:val="24"/>
        </w:rPr>
        <w:t>3.需行联合脏器切除的扩大胃癌根治术（ICD-9-CM-3：43.5-43.9），或联合脏器切除的姑息性胃切除术（ICD-9-CM-3：43.5-43.9）。</w:t>
      </w:r>
    </w:p>
    <w:p>
      <w:pPr>
        <w:pStyle w:val="5"/>
        <w:adjustRightInd w:val="0"/>
        <w:snapToGrid w:val="0"/>
        <w:spacing w:line="430" w:lineRule="exact"/>
        <w:ind w:firstLine="480"/>
        <w:rPr>
          <w:rFonts w:ascii="宋体" w:hAnsi="宋体"/>
          <w:snapToGrid w:val="0"/>
          <w:color w:val="000000"/>
          <w:kern w:val="0"/>
          <w:sz w:val="24"/>
        </w:rPr>
      </w:pPr>
      <w:r>
        <w:rPr>
          <w:rFonts w:hint="eastAsia" w:ascii="宋体" w:hAnsi="宋体"/>
          <w:snapToGrid w:val="0"/>
          <w:color w:val="000000"/>
          <w:kern w:val="0"/>
          <w:sz w:val="24"/>
        </w:rPr>
        <w:t>在指定医疗机构行开腹远侧、近侧、全胃或联合脏器切除术，住院期间发生的费用纳入新农合重大疾病按病种付费范围。</w:t>
      </w:r>
    </w:p>
    <w:p>
      <w:pPr>
        <w:widowControl/>
        <w:adjustRightInd w:val="0"/>
        <w:snapToGrid w:val="0"/>
        <w:spacing w:line="430" w:lineRule="exact"/>
        <w:ind w:firstLine="480" w:firstLineChars="200"/>
        <w:rPr>
          <w:rFonts w:hint="eastAsia" w:ascii="方正楷体简体" w:hAnsi="宋体" w:eastAsia="方正楷体简体"/>
          <w:snapToGrid w:val="0"/>
          <w:color w:val="000000"/>
          <w:kern w:val="0"/>
          <w:sz w:val="24"/>
        </w:rPr>
      </w:pPr>
      <w:r>
        <w:rPr>
          <w:rFonts w:hint="eastAsia" w:ascii="方正楷体简体" w:hAnsi="宋体" w:eastAsia="方正楷体简体"/>
          <w:snapToGrid w:val="0"/>
          <w:color w:val="000000"/>
          <w:kern w:val="0"/>
          <w:sz w:val="24"/>
        </w:rPr>
        <w:t>（二）支付条件。</w:t>
      </w:r>
    </w:p>
    <w:p>
      <w:pPr>
        <w:pStyle w:val="5"/>
        <w:adjustRightInd w:val="0"/>
        <w:snapToGrid w:val="0"/>
        <w:spacing w:line="430" w:lineRule="exact"/>
        <w:ind w:firstLine="480"/>
        <w:rPr>
          <w:rFonts w:hint="eastAsia" w:ascii="宋体" w:hAnsi="宋体"/>
          <w:snapToGrid w:val="0"/>
          <w:color w:val="000000"/>
          <w:kern w:val="0"/>
          <w:sz w:val="24"/>
        </w:rPr>
      </w:pPr>
      <w:r>
        <w:rPr>
          <w:rFonts w:hint="eastAsia" w:ascii="宋体" w:hAnsi="宋体"/>
          <w:snapToGrid w:val="0"/>
          <w:color w:val="000000"/>
          <w:kern w:val="0"/>
          <w:sz w:val="24"/>
        </w:rPr>
        <w:t>治疗过程需严格按照《</w:t>
      </w:r>
      <w:r>
        <w:rPr>
          <w:rFonts w:ascii="宋体" w:hAnsi="宋体"/>
          <w:snapToGrid w:val="0"/>
          <w:color w:val="000000"/>
          <w:kern w:val="0"/>
          <w:sz w:val="24"/>
        </w:rPr>
        <w:t>胃癌</w:t>
      </w:r>
      <w:r>
        <w:rPr>
          <w:rFonts w:hint="eastAsia" w:ascii="宋体" w:hAnsi="宋体"/>
          <w:snapToGrid w:val="0"/>
          <w:color w:val="000000"/>
          <w:kern w:val="0"/>
          <w:sz w:val="24"/>
        </w:rPr>
        <w:t>根治手术</w:t>
      </w:r>
      <w:r>
        <w:rPr>
          <w:rFonts w:ascii="宋体" w:hAnsi="宋体"/>
          <w:snapToGrid w:val="0"/>
          <w:color w:val="000000"/>
          <w:kern w:val="0"/>
          <w:sz w:val="24"/>
        </w:rPr>
        <w:t>临床路径</w:t>
      </w:r>
      <w:r>
        <w:rPr>
          <w:rFonts w:hint="eastAsia" w:ascii="宋体" w:hAnsi="宋体"/>
          <w:snapToGrid w:val="0"/>
          <w:color w:val="000000"/>
          <w:kern w:val="0"/>
          <w:sz w:val="24"/>
        </w:rPr>
        <w:t>（2012年版）》、《</w:t>
      </w:r>
      <w:r>
        <w:rPr>
          <w:rFonts w:ascii="宋体" w:hAnsi="宋体"/>
          <w:snapToGrid w:val="0"/>
          <w:color w:val="000000"/>
          <w:kern w:val="0"/>
          <w:sz w:val="24"/>
        </w:rPr>
        <w:t>胃癌联合脏器切除</w:t>
      </w:r>
      <w:r>
        <w:rPr>
          <w:rFonts w:hint="eastAsia" w:ascii="宋体" w:hAnsi="宋体"/>
          <w:snapToGrid w:val="0"/>
          <w:color w:val="000000"/>
          <w:kern w:val="0"/>
          <w:sz w:val="24"/>
        </w:rPr>
        <w:t>手术</w:t>
      </w:r>
      <w:r>
        <w:rPr>
          <w:rFonts w:ascii="宋体" w:hAnsi="宋体"/>
          <w:snapToGrid w:val="0"/>
          <w:color w:val="000000"/>
          <w:kern w:val="0"/>
          <w:sz w:val="24"/>
        </w:rPr>
        <w:t>临床路径</w:t>
      </w:r>
      <w:r>
        <w:rPr>
          <w:rFonts w:hint="eastAsia" w:ascii="宋体" w:hAnsi="宋体"/>
          <w:snapToGrid w:val="0"/>
          <w:color w:val="000000"/>
          <w:kern w:val="0"/>
          <w:sz w:val="24"/>
        </w:rPr>
        <w:t>》执行，方可实行按病种付费。</w:t>
      </w:r>
    </w:p>
    <w:p>
      <w:pPr>
        <w:pStyle w:val="5"/>
        <w:adjustRightInd w:val="0"/>
        <w:snapToGrid w:val="0"/>
        <w:spacing w:line="430" w:lineRule="exact"/>
        <w:ind w:firstLine="480"/>
        <w:rPr>
          <w:rFonts w:hint="eastAsia" w:ascii="方正楷体简体" w:hAnsi="宋体" w:eastAsia="方正楷体简体"/>
          <w:snapToGrid w:val="0"/>
          <w:color w:val="000000"/>
          <w:kern w:val="0"/>
          <w:sz w:val="24"/>
        </w:rPr>
      </w:pPr>
      <w:r>
        <w:rPr>
          <w:rFonts w:hint="eastAsia" w:ascii="方正楷体简体" w:hAnsi="宋体" w:eastAsia="方正楷体简体"/>
          <w:snapToGrid w:val="0"/>
          <w:color w:val="000000"/>
          <w:kern w:val="0"/>
          <w:sz w:val="24"/>
        </w:rPr>
        <w:t>（三）支付标准。</w:t>
      </w:r>
    </w:p>
    <w:p>
      <w:pPr>
        <w:adjustRightInd w:val="0"/>
        <w:snapToGrid w:val="0"/>
        <w:spacing w:line="430" w:lineRule="exact"/>
        <w:ind w:firstLine="480" w:firstLineChars="200"/>
        <w:rPr>
          <w:rFonts w:ascii="宋体" w:hAnsi="宋体"/>
          <w:snapToGrid w:val="0"/>
          <w:color w:val="000000"/>
          <w:kern w:val="0"/>
          <w:sz w:val="24"/>
        </w:rPr>
      </w:pPr>
      <w:r>
        <w:rPr>
          <w:rFonts w:hint="eastAsia" w:ascii="宋体" w:hAnsi="宋体"/>
          <w:snapToGrid w:val="0"/>
          <w:color w:val="000000"/>
          <w:kern w:val="0"/>
          <w:sz w:val="24"/>
        </w:rPr>
        <w:t xml:space="preserve">支付的费用包括患者每次住院期间发生的费用（含术后1个周期的化疗）。医院应按照定额支付标准收取费用，其中三级医院相应标准的70%，二级医院相应标准的75%由新农合基金支付。 </w:t>
      </w:r>
    </w:p>
    <w:p>
      <w:pPr>
        <w:pStyle w:val="5"/>
        <w:spacing w:line="430" w:lineRule="exact"/>
        <w:ind w:firstLine="0" w:firstLineChars="0"/>
        <w:jc w:val="center"/>
        <w:rPr>
          <w:rFonts w:hint="eastAsia" w:ascii="宋体" w:hAnsi="宋体"/>
          <w:sz w:val="24"/>
        </w:rPr>
      </w:pPr>
      <w:r>
        <w:rPr>
          <w:rFonts w:hint="eastAsia" w:ascii="宋体" w:hAnsi="宋体"/>
          <w:sz w:val="24"/>
        </w:rPr>
        <w:t>表10   胃癌住院治疗费用的定额支付标准</w:t>
      </w:r>
    </w:p>
    <w:tbl>
      <w:tblPr>
        <w:tblStyle w:val="4"/>
        <w:tblW w:w="7484" w:type="dxa"/>
        <w:jc w:val="center"/>
        <w:tblInd w:w="0" w:type="dxa"/>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326"/>
        <w:gridCol w:w="1026"/>
        <w:gridCol w:w="1026"/>
        <w:gridCol w:w="1027"/>
        <w:gridCol w:w="1026"/>
        <w:gridCol w:w="1026"/>
        <w:gridCol w:w="1027"/>
      </w:tblGrid>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40" w:hRule="atLeast"/>
          <w:jc w:val="center"/>
        </w:trPr>
        <w:tc>
          <w:tcPr>
            <w:tcW w:w="1326" w:type="dxa"/>
            <w:tcBorders>
              <w:top w:val="single" w:color="auto" w:sz="4" w:space="0"/>
              <w:bottom w:val="single" w:color="auto" w:sz="4" w:space="0"/>
            </w:tcBorders>
            <w:vAlign w:val="center"/>
          </w:tcPr>
          <w:p>
            <w:pPr>
              <w:widowControl/>
              <w:spacing w:line="410" w:lineRule="exact"/>
              <w:jc w:val="left"/>
              <w:rPr>
                <w:rFonts w:ascii="宋体" w:hAnsi="宋体" w:cs="宋体"/>
                <w:kern w:val="0"/>
                <w:szCs w:val="21"/>
              </w:rPr>
            </w:pPr>
            <w:r>
              <w:rPr>
                <w:rFonts w:hint="eastAsia" w:ascii="宋体" w:hAnsi="宋体" w:cs="宋体"/>
                <w:kern w:val="0"/>
                <w:szCs w:val="21"/>
              </w:rPr>
              <w:t>　</w:t>
            </w:r>
          </w:p>
        </w:tc>
        <w:tc>
          <w:tcPr>
            <w:tcW w:w="2052" w:type="dxa"/>
            <w:gridSpan w:val="2"/>
            <w:tcBorders>
              <w:top w:val="single" w:color="auto" w:sz="4" w:space="0"/>
              <w:bottom w:val="single" w:color="auto" w:sz="4" w:space="0"/>
            </w:tcBorders>
            <w:vAlign w:val="center"/>
          </w:tcPr>
          <w:p>
            <w:pPr>
              <w:widowControl/>
              <w:spacing w:line="410" w:lineRule="exact"/>
              <w:jc w:val="center"/>
              <w:rPr>
                <w:rFonts w:ascii="宋体" w:hAnsi="宋体" w:cs="宋体"/>
                <w:b/>
                <w:bCs/>
                <w:kern w:val="0"/>
                <w:szCs w:val="21"/>
              </w:rPr>
            </w:pPr>
            <w:r>
              <w:rPr>
                <w:rFonts w:hint="eastAsia" w:ascii="宋体" w:hAnsi="宋体" w:cs="宋体"/>
                <w:b/>
                <w:bCs/>
                <w:kern w:val="0"/>
                <w:szCs w:val="21"/>
              </w:rPr>
              <w:t>省级定点救治医院（万元）</w:t>
            </w:r>
          </w:p>
        </w:tc>
        <w:tc>
          <w:tcPr>
            <w:tcW w:w="2053" w:type="dxa"/>
            <w:gridSpan w:val="2"/>
            <w:tcBorders>
              <w:top w:val="single" w:color="auto" w:sz="4" w:space="0"/>
              <w:bottom w:val="single" w:color="auto" w:sz="4" w:space="0"/>
            </w:tcBorders>
            <w:vAlign w:val="center"/>
          </w:tcPr>
          <w:p>
            <w:pPr>
              <w:widowControl/>
              <w:spacing w:line="410" w:lineRule="exact"/>
              <w:jc w:val="center"/>
              <w:rPr>
                <w:rFonts w:ascii="宋体" w:hAnsi="宋体" w:cs="宋体"/>
                <w:b/>
                <w:bCs/>
                <w:kern w:val="0"/>
                <w:szCs w:val="21"/>
              </w:rPr>
            </w:pPr>
            <w:r>
              <w:rPr>
                <w:rFonts w:hint="eastAsia" w:ascii="宋体" w:hAnsi="宋体" w:cs="宋体"/>
                <w:b/>
                <w:bCs/>
                <w:kern w:val="0"/>
                <w:szCs w:val="21"/>
              </w:rPr>
              <w:t>三级医院（万元）</w:t>
            </w:r>
          </w:p>
        </w:tc>
        <w:tc>
          <w:tcPr>
            <w:tcW w:w="2053" w:type="dxa"/>
            <w:gridSpan w:val="2"/>
            <w:tcBorders>
              <w:top w:val="single" w:color="auto" w:sz="4" w:space="0"/>
              <w:bottom w:val="single" w:color="auto" w:sz="4" w:space="0"/>
            </w:tcBorders>
            <w:vAlign w:val="center"/>
          </w:tcPr>
          <w:p>
            <w:pPr>
              <w:widowControl/>
              <w:spacing w:line="410" w:lineRule="exact"/>
              <w:jc w:val="center"/>
              <w:rPr>
                <w:rFonts w:hint="eastAsia" w:ascii="宋体" w:hAnsi="宋体" w:cs="宋体"/>
                <w:b/>
                <w:bCs/>
                <w:kern w:val="0"/>
                <w:szCs w:val="21"/>
              </w:rPr>
            </w:pPr>
            <w:r>
              <w:rPr>
                <w:rFonts w:hint="eastAsia" w:ascii="宋体" w:hAnsi="宋体" w:cs="宋体"/>
                <w:b/>
                <w:bCs/>
                <w:kern w:val="0"/>
                <w:szCs w:val="21"/>
              </w:rPr>
              <w:t>二级医院</w:t>
            </w:r>
          </w:p>
          <w:p>
            <w:pPr>
              <w:widowControl/>
              <w:spacing w:line="410" w:lineRule="exact"/>
              <w:jc w:val="center"/>
              <w:rPr>
                <w:rFonts w:ascii="宋体" w:hAnsi="宋体" w:cs="宋体"/>
                <w:b/>
                <w:bCs/>
                <w:kern w:val="0"/>
                <w:szCs w:val="21"/>
              </w:rPr>
            </w:pPr>
            <w:r>
              <w:rPr>
                <w:rFonts w:hint="eastAsia" w:ascii="宋体" w:hAnsi="宋体" w:cs="宋体"/>
                <w:b/>
                <w:bCs/>
                <w:kern w:val="0"/>
                <w:szCs w:val="21"/>
              </w:rPr>
              <w:t>（万元）</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10" w:hRule="atLeast"/>
          <w:jc w:val="center"/>
        </w:trPr>
        <w:tc>
          <w:tcPr>
            <w:tcW w:w="1326" w:type="dxa"/>
            <w:tcBorders>
              <w:top w:val="single" w:color="auto" w:sz="4" w:space="0"/>
            </w:tcBorders>
            <w:vAlign w:val="center"/>
          </w:tcPr>
          <w:p>
            <w:pPr>
              <w:widowControl/>
              <w:spacing w:line="410" w:lineRule="exact"/>
              <w:jc w:val="center"/>
              <w:rPr>
                <w:rFonts w:ascii="宋体" w:hAnsi="宋体" w:cs="宋体"/>
                <w:b/>
                <w:bCs/>
                <w:kern w:val="0"/>
                <w:szCs w:val="21"/>
              </w:rPr>
            </w:pPr>
            <w:r>
              <w:rPr>
                <w:rFonts w:hint="eastAsia" w:ascii="宋体" w:hAnsi="宋体" w:cs="宋体"/>
                <w:b/>
                <w:bCs/>
                <w:kern w:val="0"/>
                <w:szCs w:val="21"/>
              </w:rPr>
              <w:t>手术方式</w:t>
            </w:r>
          </w:p>
        </w:tc>
        <w:tc>
          <w:tcPr>
            <w:tcW w:w="1026" w:type="dxa"/>
            <w:tcBorders>
              <w:top w:val="single" w:color="auto" w:sz="4" w:space="0"/>
            </w:tcBorders>
            <w:vAlign w:val="center"/>
          </w:tcPr>
          <w:p>
            <w:pPr>
              <w:widowControl/>
              <w:spacing w:line="410" w:lineRule="exact"/>
              <w:jc w:val="center"/>
              <w:rPr>
                <w:rFonts w:hint="eastAsia" w:ascii="宋体" w:hAnsi="宋体" w:cs="宋体"/>
                <w:b/>
                <w:bCs/>
                <w:kern w:val="0"/>
                <w:szCs w:val="21"/>
              </w:rPr>
            </w:pPr>
            <w:r>
              <w:rPr>
                <w:rFonts w:hint="eastAsia" w:ascii="宋体" w:hAnsi="宋体" w:cs="宋体"/>
                <w:b/>
                <w:bCs/>
                <w:kern w:val="0"/>
                <w:szCs w:val="21"/>
              </w:rPr>
              <w:t>支付</w:t>
            </w:r>
          </w:p>
          <w:p>
            <w:pPr>
              <w:widowControl/>
              <w:spacing w:line="410" w:lineRule="exact"/>
              <w:jc w:val="center"/>
              <w:rPr>
                <w:rFonts w:ascii="宋体" w:hAnsi="宋体" w:cs="宋体"/>
                <w:b/>
                <w:bCs/>
                <w:kern w:val="0"/>
                <w:szCs w:val="21"/>
              </w:rPr>
            </w:pPr>
            <w:r>
              <w:rPr>
                <w:rFonts w:hint="eastAsia" w:ascii="宋体" w:hAnsi="宋体" w:cs="宋体"/>
                <w:b/>
                <w:bCs/>
                <w:kern w:val="0"/>
                <w:szCs w:val="21"/>
              </w:rPr>
              <w:t>标准</w:t>
            </w:r>
          </w:p>
        </w:tc>
        <w:tc>
          <w:tcPr>
            <w:tcW w:w="1026" w:type="dxa"/>
            <w:tcBorders>
              <w:top w:val="single" w:color="auto" w:sz="4" w:space="0"/>
            </w:tcBorders>
            <w:vAlign w:val="center"/>
          </w:tcPr>
          <w:p>
            <w:pPr>
              <w:widowControl/>
              <w:spacing w:line="410" w:lineRule="exact"/>
              <w:jc w:val="center"/>
              <w:rPr>
                <w:rFonts w:ascii="宋体" w:hAnsi="宋体" w:cs="宋体"/>
                <w:b/>
                <w:bCs/>
                <w:kern w:val="0"/>
                <w:szCs w:val="21"/>
              </w:rPr>
            </w:pPr>
            <w:r>
              <w:rPr>
                <w:rFonts w:hint="eastAsia" w:ascii="宋体" w:hAnsi="宋体" w:cs="宋体"/>
                <w:b/>
                <w:bCs/>
                <w:kern w:val="0"/>
                <w:szCs w:val="21"/>
              </w:rPr>
              <w:t>新农合支付</w:t>
            </w:r>
          </w:p>
        </w:tc>
        <w:tc>
          <w:tcPr>
            <w:tcW w:w="1027" w:type="dxa"/>
            <w:tcBorders>
              <w:top w:val="single" w:color="auto" w:sz="4" w:space="0"/>
            </w:tcBorders>
            <w:vAlign w:val="center"/>
          </w:tcPr>
          <w:p>
            <w:pPr>
              <w:widowControl/>
              <w:spacing w:line="410" w:lineRule="exact"/>
              <w:jc w:val="center"/>
              <w:rPr>
                <w:rFonts w:hint="eastAsia" w:ascii="宋体" w:hAnsi="宋体" w:cs="宋体"/>
                <w:b/>
                <w:bCs/>
                <w:kern w:val="0"/>
                <w:szCs w:val="21"/>
              </w:rPr>
            </w:pPr>
            <w:r>
              <w:rPr>
                <w:rFonts w:hint="eastAsia" w:ascii="宋体" w:hAnsi="宋体" w:cs="宋体"/>
                <w:b/>
                <w:bCs/>
                <w:kern w:val="0"/>
                <w:szCs w:val="21"/>
              </w:rPr>
              <w:t>支付</w:t>
            </w:r>
          </w:p>
          <w:p>
            <w:pPr>
              <w:widowControl/>
              <w:spacing w:line="410" w:lineRule="exact"/>
              <w:jc w:val="center"/>
              <w:rPr>
                <w:rFonts w:ascii="宋体" w:hAnsi="宋体" w:cs="宋体"/>
                <w:b/>
                <w:bCs/>
                <w:kern w:val="0"/>
                <w:szCs w:val="21"/>
              </w:rPr>
            </w:pPr>
            <w:r>
              <w:rPr>
                <w:rFonts w:hint="eastAsia" w:ascii="宋体" w:hAnsi="宋体" w:cs="宋体"/>
                <w:b/>
                <w:bCs/>
                <w:kern w:val="0"/>
                <w:szCs w:val="21"/>
              </w:rPr>
              <w:t>标准</w:t>
            </w:r>
          </w:p>
        </w:tc>
        <w:tc>
          <w:tcPr>
            <w:tcW w:w="1026" w:type="dxa"/>
            <w:tcBorders>
              <w:top w:val="single" w:color="auto" w:sz="4" w:space="0"/>
            </w:tcBorders>
            <w:vAlign w:val="center"/>
          </w:tcPr>
          <w:p>
            <w:pPr>
              <w:widowControl/>
              <w:spacing w:line="410" w:lineRule="exact"/>
              <w:jc w:val="center"/>
              <w:rPr>
                <w:rFonts w:ascii="宋体" w:hAnsi="宋体" w:cs="宋体"/>
                <w:b/>
                <w:bCs/>
                <w:kern w:val="0"/>
                <w:szCs w:val="21"/>
              </w:rPr>
            </w:pPr>
            <w:r>
              <w:rPr>
                <w:rFonts w:hint="eastAsia" w:ascii="宋体" w:hAnsi="宋体" w:cs="宋体"/>
                <w:b/>
                <w:bCs/>
                <w:kern w:val="0"/>
                <w:szCs w:val="21"/>
              </w:rPr>
              <w:t>新农合支付</w:t>
            </w:r>
          </w:p>
        </w:tc>
        <w:tc>
          <w:tcPr>
            <w:tcW w:w="1026" w:type="dxa"/>
            <w:tcBorders>
              <w:top w:val="single" w:color="auto" w:sz="4" w:space="0"/>
            </w:tcBorders>
            <w:vAlign w:val="center"/>
          </w:tcPr>
          <w:p>
            <w:pPr>
              <w:widowControl/>
              <w:spacing w:line="410" w:lineRule="exact"/>
              <w:jc w:val="center"/>
              <w:rPr>
                <w:rFonts w:hint="eastAsia" w:ascii="宋体" w:hAnsi="宋体" w:cs="宋体"/>
                <w:b/>
                <w:bCs/>
                <w:kern w:val="0"/>
                <w:szCs w:val="21"/>
              </w:rPr>
            </w:pPr>
            <w:r>
              <w:rPr>
                <w:rFonts w:hint="eastAsia" w:ascii="宋体" w:hAnsi="宋体" w:cs="宋体"/>
                <w:b/>
                <w:bCs/>
                <w:kern w:val="0"/>
                <w:szCs w:val="21"/>
              </w:rPr>
              <w:t>支付</w:t>
            </w:r>
          </w:p>
          <w:p>
            <w:pPr>
              <w:widowControl/>
              <w:spacing w:line="410" w:lineRule="exact"/>
              <w:jc w:val="center"/>
              <w:rPr>
                <w:rFonts w:ascii="宋体" w:hAnsi="宋体" w:cs="宋体"/>
                <w:b/>
                <w:bCs/>
                <w:kern w:val="0"/>
                <w:szCs w:val="21"/>
              </w:rPr>
            </w:pPr>
            <w:r>
              <w:rPr>
                <w:rFonts w:hint="eastAsia" w:ascii="宋体" w:hAnsi="宋体" w:cs="宋体"/>
                <w:b/>
                <w:bCs/>
                <w:kern w:val="0"/>
                <w:szCs w:val="21"/>
              </w:rPr>
              <w:t>标准</w:t>
            </w:r>
          </w:p>
        </w:tc>
        <w:tc>
          <w:tcPr>
            <w:tcW w:w="1027" w:type="dxa"/>
            <w:tcBorders>
              <w:top w:val="single" w:color="auto" w:sz="4" w:space="0"/>
            </w:tcBorders>
            <w:vAlign w:val="center"/>
          </w:tcPr>
          <w:p>
            <w:pPr>
              <w:widowControl/>
              <w:spacing w:line="410" w:lineRule="exact"/>
              <w:jc w:val="center"/>
              <w:rPr>
                <w:rFonts w:ascii="宋体" w:hAnsi="宋体" w:cs="宋体"/>
                <w:b/>
                <w:bCs/>
                <w:kern w:val="0"/>
                <w:szCs w:val="21"/>
              </w:rPr>
            </w:pPr>
            <w:r>
              <w:rPr>
                <w:rFonts w:hint="eastAsia" w:ascii="宋体" w:hAnsi="宋体" w:cs="宋体"/>
                <w:b/>
                <w:bCs/>
                <w:kern w:val="0"/>
                <w:szCs w:val="21"/>
              </w:rPr>
              <w:t>新农合支付</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10" w:hRule="atLeast"/>
          <w:jc w:val="center"/>
        </w:trPr>
        <w:tc>
          <w:tcPr>
            <w:tcW w:w="1326" w:type="dxa"/>
            <w:vAlign w:val="center"/>
          </w:tcPr>
          <w:p>
            <w:pPr>
              <w:widowControl/>
              <w:spacing w:line="410" w:lineRule="exact"/>
              <w:jc w:val="center"/>
              <w:rPr>
                <w:rFonts w:ascii="宋体" w:hAnsi="宋体" w:cs="宋体"/>
                <w:b/>
                <w:bCs/>
                <w:kern w:val="0"/>
                <w:szCs w:val="21"/>
              </w:rPr>
            </w:pPr>
            <w:r>
              <w:rPr>
                <w:rFonts w:hint="eastAsia" w:ascii="宋体" w:hAnsi="宋体" w:cs="宋体"/>
                <w:b/>
                <w:bCs/>
                <w:kern w:val="0"/>
                <w:szCs w:val="21"/>
              </w:rPr>
              <w:t>根治术</w:t>
            </w:r>
          </w:p>
        </w:tc>
        <w:tc>
          <w:tcPr>
            <w:tcW w:w="1026" w:type="dxa"/>
            <w:vAlign w:val="center"/>
          </w:tcPr>
          <w:p>
            <w:pPr>
              <w:widowControl/>
              <w:spacing w:line="410" w:lineRule="exact"/>
              <w:jc w:val="center"/>
              <w:rPr>
                <w:rFonts w:ascii="宋体" w:hAnsi="宋体"/>
                <w:bCs/>
                <w:kern w:val="0"/>
                <w:szCs w:val="21"/>
              </w:rPr>
            </w:pPr>
            <w:r>
              <w:rPr>
                <w:rFonts w:ascii="宋体" w:hAnsi="宋体"/>
                <w:bCs/>
                <w:kern w:val="0"/>
                <w:szCs w:val="21"/>
              </w:rPr>
              <w:t>3.97</w:t>
            </w:r>
          </w:p>
        </w:tc>
        <w:tc>
          <w:tcPr>
            <w:tcW w:w="1026" w:type="dxa"/>
            <w:vAlign w:val="center"/>
          </w:tcPr>
          <w:p>
            <w:pPr>
              <w:widowControl/>
              <w:spacing w:line="410" w:lineRule="exact"/>
              <w:jc w:val="center"/>
              <w:rPr>
                <w:rFonts w:ascii="宋体" w:hAnsi="宋体"/>
                <w:bCs/>
                <w:kern w:val="0"/>
                <w:szCs w:val="21"/>
              </w:rPr>
            </w:pPr>
            <w:r>
              <w:rPr>
                <w:rFonts w:ascii="宋体" w:hAnsi="宋体"/>
                <w:bCs/>
                <w:kern w:val="0"/>
                <w:szCs w:val="21"/>
              </w:rPr>
              <w:t>2.78</w:t>
            </w:r>
          </w:p>
        </w:tc>
        <w:tc>
          <w:tcPr>
            <w:tcW w:w="1027" w:type="dxa"/>
            <w:vAlign w:val="center"/>
          </w:tcPr>
          <w:p>
            <w:pPr>
              <w:widowControl/>
              <w:spacing w:line="410" w:lineRule="exact"/>
              <w:jc w:val="center"/>
              <w:rPr>
                <w:rFonts w:ascii="宋体" w:hAnsi="宋体"/>
                <w:kern w:val="0"/>
                <w:szCs w:val="21"/>
              </w:rPr>
            </w:pPr>
            <w:r>
              <w:rPr>
                <w:rFonts w:ascii="宋体" w:hAnsi="宋体"/>
                <w:kern w:val="0"/>
                <w:szCs w:val="21"/>
              </w:rPr>
              <w:t>3.78</w:t>
            </w:r>
          </w:p>
        </w:tc>
        <w:tc>
          <w:tcPr>
            <w:tcW w:w="1026" w:type="dxa"/>
            <w:vAlign w:val="center"/>
          </w:tcPr>
          <w:p>
            <w:pPr>
              <w:widowControl/>
              <w:spacing w:line="410" w:lineRule="exact"/>
              <w:jc w:val="center"/>
              <w:rPr>
                <w:rFonts w:ascii="宋体" w:hAnsi="宋体"/>
                <w:kern w:val="0"/>
                <w:szCs w:val="21"/>
              </w:rPr>
            </w:pPr>
            <w:r>
              <w:rPr>
                <w:rFonts w:ascii="宋体" w:hAnsi="宋体"/>
                <w:kern w:val="0"/>
                <w:szCs w:val="21"/>
              </w:rPr>
              <w:t>2.65</w:t>
            </w:r>
          </w:p>
        </w:tc>
        <w:tc>
          <w:tcPr>
            <w:tcW w:w="1026" w:type="dxa"/>
            <w:vAlign w:val="center"/>
          </w:tcPr>
          <w:p>
            <w:pPr>
              <w:widowControl/>
              <w:spacing w:line="410" w:lineRule="exact"/>
              <w:jc w:val="center"/>
              <w:rPr>
                <w:rFonts w:ascii="宋体" w:hAnsi="宋体"/>
                <w:kern w:val="0"/>
                <w:szCs w:val="21"/>
              </w:rPr>
            </w:pPr>
            <w:r>
              <w:rPr>
                <w:rFonts w:ascii="宋体" w:hAnsi="宋体"/>
                <w:kern w:val="0"/>
                <w:szCs w:val="21"/>
              </w:rPr>
              <w:t>2.7</w:t>
            </w:r>
          </w:p>
        </w:tc>
        <w:tc>
          <w:tcPr>
            <w:tcW w:w="1027" w:type="dxa"/>
            <w:vAlign w:val="center"/>
          </w:tcPr>
          <w:p>
            <w:pPr>
              <w:widowControl/>
              <w:spacing w:line="410" w:lineRule="exact"/>
              <w:jc w:val="center"/>
              <w:rPr>
                <w:rFonts w:ascii="宋体" w:hAnsi="宋体"/>
                <w:kern w:val="0"/>
                <w:szCs w:val="21"/>
              </w:rPr>
            </w:pPr>
            <w:r>
              <w:rPr>
                <w:rFonts w:ascii="宋体" w:hAnsi="宋体"/>
                <w:kern w:val="0"/>
                <w:szCs w:val="21"/>
              </w:rPr>
              <w:t>2.03</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75" w:hRule="atLeast"/>
          <w:jc w:val="center"/>
        </w:trPr>
        <w:tc>
          <w:tcPr>
            <w:tcW w:w="1326" w:type="dxa"/>
            <w:tcBorders>
              <w:bottom w:val="single" w:color="auto" w:sz="4" w:space="0"/>
            </w:tcBorders>
            <w:vAlign w:val="center"/>
          </w:tcPr>
          <w:p>
            <w:pPr>
              <w:widowControl/>
              <w:spacing w:line="410" w:lineRule="exact"/>
              <w:jc w:val="center"/>
              <w:rPr>
                <w:rFonts w:ascii="宋体" w:hAnsi="宋体" w:cs="宋体"/>
                <w:b/>
                <w:bCs/>
                <w:kern w:val="0"/>
                <w:szCs w:val="21"/>
              </w:rPr>
            </w:pPr>
            <w:r>
              <w:rPr>
                <w:rFonts w:hint="eastAsia" w:ascii="宋体" w:hAnsi="宋体" w:cs="宋体"/>
                <w:b/>
                <w:bCs/>
                <w:kern w:val="0"/>
                <w:szCs w:val="21"/>
              </w:rPr>
              <w:t>联合脏器切除术</w:t>
            </w:r>
          </w:p>
        </w:tc>
        <w:tc>
          <w:tcPr>
            <w:tcW w:w="1026" w:type="dxa"/>
            <w:tcBorders>
              <w:bottom w:val="single" w:color="auto" w:sz="4" w:space="0"/>
            </w:tcBorders>
            <w:vAlign w:val="center"/>
          </w:tcPr>
          <w:p>
            <w:pPr>
              <w:widowControl/>
              <w:spacing w:line="410" w:lineRule="exact"/>
              <w:jc w:val="center"/>
              <w:rPr>
                <w:rFonts w:ascii="宋体" w:hAnsi="宋体"/>
                <w:kern w:val="0"/>
                <w:szCs w:val="21"/>
              </w:rPr>
            </w:pPr>
            <w:r>
              <w:rPr>
                <w:rFonts w:ascii="宋体" w:hAnsi="宋体"/>
                <w:kern w:val="0"/>
                <w:szCs w:val="21"/>
              </w:rPr>
              <w:t>4.2</w:t>
            </w:r>
          </w:p>
        </w:tc>
        <w:tc>
          <w:tcPr>
            <w:tcW w:w="1026" w:type="dxa"/>
            <w:tcBorders>
              <w:bottom w:val="single" w:color="auto" w:sz="4" w:space="0"/>
            </w:tcBorders>
            <w:vAlign w:val="center"/>
          </w:tcPr>
          <w:p>
            <w:pPr>
              <w:widowControl/>
              <w:spacing w:line="410" w:lineRule="exact"/>
              <w:jc w:val="center"/>
              <w:rPr>
                <w:rFonts w:ascii="宋体" w:hAnsi="宋体"/>
                <w:kern w:val="0"/>
                <w:szCs w:val="21"/>
              </w:rPr>
            </w:pPr>
            <w:r>
              <w:rPr>
                <w:rFonts w:ascii="宋体" w:hAnsi="宋体"/>
                <w:kern w:val="0"/>
                <w:szCs w:val="21"/>
              </w:rPr>
              <w:t>2.94</w:t>
            </w:r>
          </w:p>
        </w:tc>
        <w:tc>
          <w:tcPr>
            <w:tcW w:w="1027" w:type="dxa"/>
            <w:tcBorders>
              <w:bottom w:val="single" w:color="auto" w:sz="4" w:space="0"/>
            </w:tcBorders>
            <w:vAlign w:val="center"/>
          </w:tcPr>
          <w:p>
            <w:pPr>
              <w:widowControl/>
              <w:spacing w:line="410" w:lineRule="exact"/>
              <w:jc w:val="center"/>
              <w:rPr>
                <w:rFonts w:ascii="宋体" w:hAnsi="宋体"/>
                <w:kern w:val="0"/>
                <w:szCs w:val="21"/>
              </w:rPr>
            </w:pPr>
            <w:r>
              <w:rPr>
                <w:rFonts w:ascii="宋体" w:hAnsi="宋体"/>
                <w:kern w:val="0"/>
                <w:szCs w:val="21"/>
              </w:rPr>
              <w:t>4</w:t>
            </w:r>
            <w:r>
              <w:rPr>
                <w:rFonts w:hint="eastAsia" w:ascii="宋体" w:hAnsi="宋体"/>
                <w:kern w:val="0"/>
                <w:szCs w:val="21"/>
              </w:rPr>
              <w:t>.0</w:t>
            </w:r>
          </w:p>
        </w:tc>
        <w:tc>
          <w:tcPr>
            <w:tcW w:w="1026" w:type="dxa"/>
            <w:tcBorders>
              <w:bottom w:val="single" w:color="auto" w:sz="4" w:space="0"/>
            </w:tcBorders>
            <w:vAlign w:val="center"/>
          </w:tcPr>
          <w:p>
            <w:pPr>
              <w:widowControl/>
              <w:spacing w:line="410" w:lineRule="exact"/>
              <w:jc w:val="center"/>
              <w:rPr>
                <w:rFonts w:ascii="宋体" w:hAnsi="宋体"/>
                <w:kern w:val="0"/>
                <w:szCs w:val="21"/>
              </w:rPr>
            </w:pPr>
            <w:r>
              <w:rPr>
                <w:rFonts w:ascii="宋体" w:hAnsi="宋体"/>
                <w:kern w:val="0"/>
                <w:szCs w:val="21"/>
              </w:rPr>
              <w:t>2.8</w:t>
            </w:r>
          </w:p>
        </w:tc>
        <w:tc>
          <w:tcPr>
            <w:tcW w:w="1026" w:type="dxa"/>
            <w:tcBorders>
              <w:bottom w:val="single" w:color="auto" w:sz="4" w:space="0"/>
            </w:tcBorders>
            <w:vAlign w:val="center"/>
          </w:tcPr>
          <w:p>
            <w:pPr>
              <w:widowControl/>
              <w:spacing w:line="410" w:lineRule="exact"/>
              <w:jc w:val="center"/>
              <w:rPr>
                <w:rFonts w:ascii="宋体" w:hAnsi="宋体"/>
                <w:kern w:val="0"/>
                <w:szCs w:val="21"/>
              </w:rPr>
            </w:pPr>
            <w:r>
              <w:rPr>
                <w:rFonts w:ascii="宋体" w:hAnsi="宋体"/>
                <w:kern w:val="0"/>
                <w:szCs w:val="21"/>
              </w:rPr>
              <w:t>2.8</w:t>
            </w:r>
          </w:p>
        </w:tc>
        <w:tc>
          <w:tcPr>
            <w:tcW w:w="1027" w:type="dxa"/>
            <w:tcBorders>
              <w:bottom w:val="single" w:color="auto" w:sz="4" w:space="0"/>
            </w:tcBorders>
            <w:vAlign w:val="center"/>
          </w:tcPr>
          <w:p>
            <w:pPr>
              <w:widowControl/>
              <w:spacing w:line="410" w:lineRule="exact"/>
              <w:jc w:val="center"/>
              <w:rPr>
                <w:rFonts w:ascii="宋体" w:hAnsi="宋体"/>
                <w:kern w:val="0"/>
                <w:szCs w:val="21"/>
              </w:rPr>
            </w:pPr>
            <w:r>
              <w:rPr>
                <w:rFonts w:ascii="宋体" w:hAnsi="宋体"/>
                <w:kern w:val="0"/>
                <w:szCs w:val="21"/>
              </w:rPr>
              <w:t>2.1</w:t>
            </w:r>
          </w:p>
        </w:tc>
      </w:tr>
    </w:tbl>
    <w:p>
      <w:pPr>
        <w:pStyle w:val="5"/>
        <w:adjustRightInd w:val="0"/>
        <w:snapToGrid w:val="0"/>
        <w:spacing w:line="430" w:lineRule="exact"/>
        <w:ind w:firstLine="480"/>
        <w:rPr>
          <w:rFonts w:hint="eastAsia" w:ascii="黑体" w:hAnsi="宋体" w:eastAsia="黑体"/>
          <w:snapToGrid w:val="0"/>
          <w:color w:val="000000"/>
          <w:kern w:val="0"/>
          <w:sz w:val="24"/>
        </w:rPr>
      </w:pPr>
      <w:r>
        <w:rPr>
          <w:rFonts w:hint="eastAsia" w:ascii="黑体" w:hAnsi="宋体" w:eastAsia="黑体"/>
          <w:snapToGrid w:val="0"/>
          <w:color w:val="000000"/>
          <w:kern w:val="0"/>
          <w:sz w:val="24"/>
        </w:rPr>
        <w:t>十一、终末期肾病</w:t>
      </w:r>
    </w:p>
    <w:p>
      <w:pPr>
        <w:adjustRightInd w:val="0"/>
        <w:snapToGrid w:val="0"/>
        <w:spacing w:line="430" w:lineRule="exact"/>
        <w:ind w:firstLine="480" w:firstLineChars="200"/>
        <w:rPr>
          <w:rFonts w:hint="eastAsia" w:ascii="方正楷体简体" w:hAnsi="宋体" w:eastAsia="方正楷体简体"/>
          <w:snapToGrid w:val="0"/>
          <w:color w:val="000000"/>
          <w:kern w:val="0"/>
          <w:sz w:val="24"/>
        </w:rPr>
      </w:pPr>
      <w:r>
        <w:rPr>
          <w:rFonts w:hint="eastAsia" w:ascii="方正楷体简体" w:hAnsi="宋体" w:eastAsia="方正楷体简体"/>
          <w:snapToGrid w:val="0"/>
          <w:color w:val="000000"/>
          <w:kern w:val="0"/>
          <w:sz w:val="24"/>
        </w:rPr>
        <w:t>（一）适用对象。</w:t>
      </w:r>
    </w:p>
    <w:p>
      <w:pPr>
        <w:adjustRightInd w:val="0"/>
        <w:snapToGrid w:val="0"/>
        <w:spacing w:line="430" w:lineRule="exact"/>
        <w:ind w:firstLine="480" w:firstLineChars="200"/>
        <w:rPr>
          <w:rFonts w:ascii="宋体" w:hAnsi="宋体"/>
          <w:snapToGrid w:val="0"/>
          <w:color w:val="000000"/>
          <w:kern w:val="0"/>
          <w:sz w:val="24"/>
        </w:rPr>
      </w:pPr>
      <w:r>
        <w:rPr>
          <w:rFonts w:hint="eastAsia" w:ascii="宋体" w:hAnsi="宋体"/>
          <w:snapToGrid w:val="0"/>
          <w:color w:val="000000"/>
          <w:kern w:val="0"/>
          <w:sz w:val="24"/>
        </w:rPr>
        <w:t>以终末期肾脏病（ICD-10：N18.0）为第一诊断的患者，采用维持性血液透析，在一年内发生的血液透析的治疗费用，纳入新农合重大疾病按病种付费范围。</w:t>
      </w:r>
    </w:p>
    <w:p>
      <w:pPr>
        <w:widowControl/>
        <w:adjustRightInd w:val="0"/>
        <w:snapToGrid w:val="0"/>
        <w:spacing w:line="430" w:lineRule="exact"/>
        <w:ind w:firstLine="480" w:firstLineChars="200"/>
        <w:rPr>
          <w:rFonts w:hint="eastAsia" w:ascii="方正楷体简体" w:hAnsi="宋体" w:eastAsia="方正楷体简体"/>
          <w:snapToGrid w:val="0"/>
          <w:color w:val="000000"/>
          <w:kern w:val="0"/>
          <w:sz w:val="24"/>
        </w:rPr>
      </w:pPr>
      <w:r>
        <w:rPr>
          <w:rFonts w:hint="eastAsia" w:ascii="方正楷体简体" w:hAnsi="宋体" w:eastAsia="方正楷体简体"/>
          <w:snapToGrid w:val="0"/>
          <w:color w:val="000000"/>
          <w:kern w:val="0"/>
          <w:sz w:val="24"/>
        </w:rPr>
        <w:t>（二）支付条件。</w:t>
      </w:r>
    </w:p>
    <w:p>
      <w:pPr>
        <w:adjustRightInd w:val="0"/>
        <w:snapToGrid w:val="0"/>
        <w:spacing w:line="430" w:lineRule="exact"/>
        <w:ind w:firstLine="480" w:firstLineChars="200"/>
        <w:rPr>
          <w:rFonts w:ascii="宋体" w:hAnsi="宋体"/>
          <w:snapToGrid w:val="0"/>
          <w:color w:val="000000"/>
          <w:kern w:val="0"/>
          <w:sz w:val="24"/>
        </w:rPr>
      </w:pPr>
      <w:r>
        <w:rPr>
          <w:rFonts w:hint="eastAsia" w:ascii="宋体" w:hAnsi="宋体"/>
          <w:snapToGrid w:val="0"/>
          <w:color w:val="000000"/>
          <w:kern w:val="0"/>
          <w:sz w:val="24"/>
        </w:rPr>
        <w:t>治疗过程需严格按照《终末期肾脏病常规血液透析治疗临床路径（2011年版）》执行，方可实行按病种付费。</w:t>
      </w:r>
    </w:p>
    <w:p>
      <w:pPr>
        <w:adjustRightInd w:val="0"/>
        <w:snapToGrid w:val="0"/>
        <w:spacing w:line="430" w:lineRule="exact"/>
        <w:ind w:firstLine="480" w:firstLineChars="200"/>
        <w:rPr>
          <w:rFonts w:hint="eastAsia" w:ascii="方正楷体简体" w:hAnsi="宋体" w:eastAsia="方正楷体简体"/>
          <w:snapToGrid w:val="0"/>
          <w:color w:val="000000"/>
          <w:kern w:val="0"/>
          <w:sz w:val="24"/>
        </w:rPr>
      </w:pPr>
      <w:r>
        <w:rPr>
          <w:rFonts w:hint="eastAsia" w:ascii="方正楷体简体" w:hAnsi="宋体" w:eastAsia="方正楷体简体"/>
          <w:snapToGrid w:val="0"/>
          <w:color w:val="000000"/>
          <w:kern w:val="0"/>
          <w:sz w:val="24"/>
        </w:rPr>
        <w:t>（三）支付标准。</w:t>
      </w:r>
    </w:p>
    <w:p>
      <w:pPr>
        <w:adjustRightInd w:val="0"/>
        <w:snapToGrid w:val="0"/>
        <w:spacing w:line="430" w:lineRule="exact"/>
        <w:ind w:firstLine="480" w:firstLineChars="200"/>
        <w:rPr>
          <w:rFonts w:ascii="宋体" w:hAnsi="宋体"/>
          <w:snapToGrid w:val="0"/>
          <w:color w:val="000000"/>
          <w:kern w:val="0"/>
          <w:sz w:val="24"/>
        </w:rPr>
      </w:pPr>
      <w:r>
        <w:rPr>
          <w:rFonts w:hint="eastAsia" w:ascii="宋体" w:hAnsi="宋体"/>
          <w:snapToGrid w:val="0"/>
          <w:color w:val="000000"/>
          <w:kern w:val="0"/>
          <w:sz w:val="24"/>
        </w:rPr>
        <w:t>支付费用包括患者全年血液透析的门诊治疗的治疗费用，不包含药费、放射费、化验费等。医院应在限额支付标准内收取血液透析的费用，其中三级医院相应限额内费用的70%，二级医院相应限额内费用的75%由新农合基金支付。</w:t>
      </w:r>
    </w:p>
    <w:p>
      <w:pPr>
        <w:pStyle w:val="5"/>
        <w:spacing w:line="430" w:lineRule="exact"/>
        <w:ind w:firstLine="0" w:firstLineChars="0"/>
        <w:jc w:val="center"/>
        <w:rPr>
          <w:rFonts w:hint="eastAsia" w:ascii="宋体" w:hAnsi="宋体"/>
          <w:sz w:val="24"/>
        </w:rPr>
      </w:pPr>
      <w:r>
        <w:rPr>
          <w:rFonts w:hint="eastAsia" w:ascii="宋体" w:hAnsi="宋体"/>
          <w:sz w:val="24"/>
        </w:rPr>
        <w:t>表11  尿毒症门诊治疗费用的</w:t>
      </w:r>
      <w:r>
        <w:rPr>
          <w:rFonts w:hint="eastAsia" w:ascii="宋体" w:hAnsi="宋体" w:cs="宋体"/>
          <w:bCs/>
          <w:kern w:val="0"/>
          <w:sz w:val="24"/>
        </w:rPr>
        <w:t>限额</w:t>
      </w:r>
      <w:r>
        <w:rPr>
          <w:rFonts w:hint="eastAsia" w:ascii="宋体" w:hAnsi="宋体"/>
          <w:sz w:val="24"/>
        </w:rPr>
        <w:t>支付标准</w:t>
      </w:r>
    </w:p>
    <w:tbl>
      <w:tblPr>
        <w:tblStyle w:val="4"/>
        <w:tblW w:w="7484" w:type="dxa"/>
        <w:jc w:val="center"/>
        <w:tblInd w:w="0" w:type="dxa"/>
        <w:tblLayout w:type="fixed"/>
        <w:tblCellMar>
          <w:top w:w="0" w:type="dxa"/>
          <w:left w:w="108" w:type="dxa"/>
          <w:bottom w:w="0" w:type="dxa"/>
          <w:right w:w="108" w:type="dxa"/>
        </w:tblCellMar>
      </w:tblPr>
      <w:tblGrid>
        <w:gridCol w:w="1871"/>
        <w:gridCol w:w="1871"/>
        <w:gridCol w:w="1871"/>
        <w:gridCol w:w="1871"/>
      </w:tblGrid>
      <w:tr>
        <w:tblPrEx>
          <w:tblLayout w:type="fixed"/>
          <w:tblCellMar>
            <w:top w:w="0" w:type="dxa"/>
            <w:left w:w="108" w:type="dxa"/>
            <w:bottom w:w="0" w:type="dxa"/>
            <w:right w:w="108" w:type="dxa"/>
          </w:tblCellMar>
        </w:tblPrEx>
        <w:trPr>
          <w:trHeight w:val="626" w:hRule="atLeast"/>
          <w:jc w:val="center"/>
        </w:trPr>
        <w:tc>
          <w:tcPr>
            <w:tcW w:w="3742" w:type="dxa"/>
            <w:gridSpan w:val="2"/>
            <w:tcBorders>
              <w:top w:val="single" w:color="auto" w:sz="4" w:space="0"/>
              <w:left w:val="nil"/>
              <w:bottom w:val="single" w:color="auto" w:sz="4" w:space="0"/>
              <w:right w:val="nil"/>
            </w:tcBorders>
            <w:vAlign w:val="center"/>
          </w:tcPr>
          <w:p>
            <w:pPr>
              <w:widowControl/>
              <w:spacing w:line="410" w:lineRule="exact"/>
              <w:jc w:val="center"/>
              <w:rPr>
                <w:rFonts w:ascii="宋体" w:hAnsi="宋体" w:cs="宋体"/>
                <w:b/>
                <w:bCs/>
                <w:kern w:val="0"/>
                <w:szCs w:val="21"/>
              </w:rPr>
            </w:pPr>
            <w:r>
              <w:rPr>
                <w:rFonts w:hint="eastAsia" w:ascii="宋体" w:hAnsi="宋体" w:cs="宋体"/>
                <w:b/>
                <w:bCs/>
                <w:kern w:val="0"/>
                <w:szCs w:val="21"/>
              </w:rPr>
              <w:t>三级医院（万元）</w:t>
            </w:r>
          </w:p>
        </w:tc>
        <w:tc>
          <w:tcPr>
            <w:tcW w:w="3742" w:type="dxa"/>
            <w:gridSpan w:val="2"/>
            <w:tcBorders>
              <w:top w:val="single" w:color="auto" w:sz="4" w:space="0"/>
              <w:left w:val="nil"/>
              <w:bottom w:val="single" w:color="auto" w:sz="4" w:space="0"/>
              <w:right w:val="nil"/>
            </w:tcBorders>
            <w:vAlign w:val="center"/>
          </w:tcPr>
          <w:p>
            <w:pPr>
              <w:widowControl/>
              <w:spacing w:line="410" w:lineRule="exact"/>
              <w:jc w:val="center"/>
              <w:rPr>
                <w:rFonts w:ascii="宋体" w:hAnsi="宋体" w:cs="宋体"/>
                <w:b/>
                <w:bCs/>
                <w:kern w:val="0"/>
                <w:szCs w:val="21"/>
              </w:rPr>
            </w:pPr>
            <w:r>
              <w:rPr>
                <w:rFonts w:hint="eastAsia" w:ascii="宋体" w:hAnsi="宋体" w:cs="宋体"/>
                <w:b/>
                <w:bCs/>
                <w:kern w:val="0"/>
                <w:szCs w:val="21"/>
              </w:rPr>
              <w:t>二级医院（万元）</w:t>
            </w:r>
          </w:p>
        </w:tc>
      </w:tr>
      <w:tr>
        <w:tblPrEx>
          <w:tblLayout w:type="fixed"/>
          <w:tblCellMar>
            <w:top w:w="0" w:type="dxa"/>
            <w:left w:w="108" w:type="dxa"/>
            <w:bottom w:w="0" w:type="dxa"/>
            <w:right w:w="108" w:type="dxa"/>
          </w:tblCellMar>
        </w:tblPrEx>
        <w:trPr>
          <w:trHeight w:val="368" w:hRule="atLeast"/>
          <w:jc w:val="center"/>
        </w:trPr>
        <w:tc>
          <w:tcPr>
            <w:tcW w:w="1871" w:type="dxa"/>
            <w:tcBorders>
              <w:top w:val="nil"/>
              <w:left w:val="nil"/>
              <w:bottom w:val="nil"/>
              <w:right w:val="nil"/>
            </w:tcBorders>
            <w:vAlign w:val="center"/>
          </w:tcPr>
          <w:p>
            <w:pPr>
              <w:widowControl/>
              <w:spacing w:line="410" w:lineRule="exact"/>
              <w:jc w:val="center"/>
              <w:rPr>
                <w:rFonts w:ascii="宋体" w:hAnsi="宋体" w:cs="宋体"/>
                <w:b/>
                <w:bCs/>
                <w:kern w:val="0"/>
                <w:szCs w:val="21"/>
              </w:rPr>
            </w:pPr>
            <w:r>
              <w:rPr>
                <w:rFonts w:hint="eastAsia" w:ascii="宋体" w:hAnsi="宋体" w:cs="宋体"/>
                <w:b/>
                <w:bCs/>
                <w:kern w:val="0"/>
                <w:szCs w:val="21"/>
              </w:rPr>
              <w:t>支付标准</w:t>
            </w:r>
          </w:p>
        </w:tc>
        <w:tc>
          <w:tcPr>
            <w:tcW w:w="1871" w:type="dxa"/>
            <w:tcBorders>
              <w:top w:val="nil"/>
              <w:left w:val="nil"/>
              <w:bottom w:val="nil"/>
              <w:right w:val="nil"/>
            </w:tcBorders>
            <w:vAlign w:val="center"/>
          </w:tcPr>
          <w:p>
            <w:pPr>
              <w:widowControl/>
              <w:spacing w:line="410" w:lineRule="exact"/>
              <w:jc w:val="center"/>
              <w:rPr>
                <w:rFonts w:ascii="宋体" w:hAnsi="宋体" w:cs="宋体"/>
                <w:b/>
                <w:bCs/>
                <w:kern w:val="0"/>
                <w:szCs w:val="21"/>
              </w:rPr>
            </w:pPr>
            <w:r>
              <w:rPr>
                <w:rFonts w:hint="eastAsia" w:ascii="宋体" w:hAnsi="宋体" w:cs="宋体"/>
                <w:b/>
                <w:bCs/>
                <w:kern w:val="0"/>
                <w:szCs w:val="21"/>
              </w:rPr>
              <w:t>新农合支付</w:t>
            </w:r>
          </w:p>
        </w:tc>
        <w:tc>
          <w:tcPr>
            <w:tcW w:w="1871" w:type="dxa"/>
            <w:tcBorders>
              <w:top w:val="nil"/>
              <w:left w:val="nil"/>
              <w:bottom w:val="nil"/>
              <w:right w:val="nil"/>
            </w:tcBorders>
            <w:vAlign w:val="center"/>
          </w:tcPr>
          <w:p>
            <w:pPr>
              <w:widowControl/>
              <w:spacing w:line="410" w:lineRule="exact"/>
              <w:jc w:val="center"/>
              <w:rPr>
                <w:rFonts w:ascii="宋体" w:hAnsi="宋体" w:cs="宋体"/>
                <w:b/>
                <w:bCs/>
                <w:kern w:val="0"/>
                <w:szCs w:val="21"/>
              </w:rPr>
            </w:pPr>
            <w:r>
              <w:rPr>
                <w:rFonts w:hint="eastAsia" w:ascii="宋体" w:hAnsi="宋体" w:cs="宋体"/>
                <w:b/>
                <w:bCs/>
                <w:kern w:val="0"/>
                <w:szCs w:val="21"/>
              </w:rPr>
              <w:t>支付标准</w:t>
            </w:r>
          </w:p>
        </w:tc>
        <w:tc>
          <w:tcPr>
            <w:tcW w:w="1871" w:type="dxa"/>
            <w:tcBorders>
              <w:top w:val="nil"/>
              <w:left w:val="nil"/>
              <w:bottom w:val="nil"/>
              <w:right w:val="nil"/>
            </w:tcBorders>
            <w:vAlign w:val="center"/>
          </w:tcPr>
          <w:p>
            <w:pPr>
              <w:widowControl/>
              <w:spacing w:line="410" w:lineRule="exact"/>
              <w:jc w:val="center"/>
              <w:rPr>
                <w:rFonts w:ascii="宋体" w:hAnsi="宋体" w:cs="宋体"/>
                <w:b/>
                <w:bCs/>
                <w:kern w:val="0"/>
                <w:szCs w:val="21"/>
              </w:rPr>
            </w:pPr>
            <w:r>
              <w:rPr>
                <w:rFonts w:hint="eastAsia" w:ascii="宋体" w:hAnsi="宋体" w:cs="宋体"/>
                <w:b/>
                <w:bCs/>
                <w:kern w:val="0"/>
                <w:szCs w:val="21"/>
              </w:rPr>
              <w:t>新农合支付</w:t>
            </w:r>
          </w:p>
        </w:tc>
      </w:tr>
      <w:tr>
        <w:tblPrEx>
          <w:tblLayout w:type="fixed"/>
          <w:tblCellMar>
            <w:top w:w="0" w:type="dxa"/>
            <w:left w:w="108" w:type="dxa"/>
            <w:bottom w:w="0" w:type="dxa"/>
            <w:right w:w="108" w:type="dxa"/>
          </w:tblCellMar>
        </w:tblPrEx>
        <w:trPr>
          <w:trHeight w:val="545" w:hRule="atLeast"/>
          <w:jc w:val="center"/>
        </w:trPr>
        <w:tc>
          <w:tcPr>
            <w:tcW w:w="1871" w:type="dxa"/>
            <w:tcBorders>
              <w:top w:val="nil"/>
              <w:left w:val="nil"/>
              <w:bottom w:val="single" w:color="auto" w:sz="4" w:space="0"/>
              <w:right w:val="nil"/>
            </w:tcBorders>
            <w:vAlign w:val="center"/>
          </w:tcPr>
          <w:p>
            <w:pPr>
              <w:widowControl/>
              <w:spacing w:line="410" w:lineRule="exact"/>
              <w:jc w:val="center"/>
              <w:rPr>
                <w:rFonts w:ascii="宋体" w:hAnsi="宋体"/>
                <w:kern w:val="0"/>
                <w:szCs w:val="21"/>
              </w:rPr>
            </w:pPr>
            <w:r>
              <w:rPr>
                <w:rFonts w:ascii="宋体" w:hAnsi="宋体"/>
                <w:kern w:val="0"/>
                <w:szCs w:val="21"/>
              </w:rPr>
              <w:t>5.46</w:t>
            </w:r>
          </w:p>
        </w:tc>
        <w:tc>
          <w:tcPr>
            <w:tcW w:w="1871" w:type="dxa"/>
            <w:tcBorders>
              <w:top w:val="nil"/>
              <w:left w:val="nil"/>
              <w:bottom w:val="single" w:color="auto" w:sz="4" w:space="0"/>
              <w:right w:val="nil"/>
            </w:tcBorders>
            <w:vAlign w:val="center"/>
          </w:tcPr>
          <w:p>
            <w:pPr>
              <w:widowControl/>
              <w:spacing w:line="410" w:lineRule="exact"/>
              <w:ind w:firstLine="315" w:firstLineChars="150"/>
              <w:jc w:val="center"/>
              <w:rPr>
                <w:rFonts w:ascii="宋体" w:hAnsi="宋体"/>
                <w:kern w:val="0"/>
                <w:szCs w:val="21"/>
              </w:rPr>
            </w:pPr>
            <w:r>
              <w:rPr>
                <w:rFonts w:ascii="宋体" w:hAnsi="宋体"/>
                <w:kern w:val="0"/>
                <w:szCs w:val="21"/>
              </w:rPr>
              <w:t>3.82</w:t>
            </w:r>
          </w:p>
        </w:tc>
        <w:tc>
          <w:tcPr>
            <w:tcW w:w="1871" w:type="dxa"/>
            <w:tcBorders>
              <w:top w:val="nil"/>
              <w:left w:val="nil"/>
              <w:bottom w:val="single" w:color="auto" w:sz="4" w:space="0"/>
              <w:right w:val="nil"/>
            </w:tcBorders>
            <w:vAlign w:val="center"/>
          </w:tcPr>
          <w:p>
            <w:pPr>
              <w:widowControl/>
              <w:spacing w:line="410" w:lineRule="exact"/>
              <w:jc w:val="center"/>
              <w:rPr>
                <w:rFonts w:ascii="宋体" w:hAnsi="宋体"/>
                <w:kern w:val="0"/>
                <w:szCs w:val="21"/>
              </w:rPr>
            </w:pPr>
            <w:r>
              <w:rPr>
                <w:rFonts w:ascii="宋体" w:hAnsi="宋体"/>
                <w:kern w:val="0"/>
                <w:szCs w:val="21"/>
              </w:rPr>
              <w:t>4.55</w:t>
            </w:r>
          </w:p>
        </w:tc>
        <w:tc>
          <w:tcPr>
            <w:tcW w:w="1871" w:type="dxa"/>
            <w:tcBorders>
              <w:top w:val="nil"/>
              <w:left w:val="nil"/>
              <w:bottom w:val="single" w:color="auto" w:sz="4" w:space="0"/>
              <w:right w:val="nil"/>
            </w:tcBorders>
            <w:vAlign w:val="center"/>
          </w:tcPr>
          <w:p>
            <w:pPr>
              <w:widowControl/>
              <w:spacing w:line="410" w:lineRule="exact"/>
              <w:ind w:firstLine="210" w:firstLineChars="100"/>
              <w:jc w:val="center"/>
              <w:rPr>
                <w:rFonts w:ascii="宋体" w:hAnsi="宋体"/>
                <w:kern w:val="0"/>
                <w:szCs w:val="21"/>
              </w:rPr>
            </w:pPr>
            <w:r>
              <w:rPr>
                <w:rFonts w:ascii="宋体" w:hAnsi="宋体"/>
                <w:kern w:val="0"/>
                <w:szCs w:val="21"/>
              </w:rPr>
              <w:t>3.41</w:t>
            </w:r>
          </w:p>
        </w:tc>
      </w:tr>
    </w:tbl>
    <w:p>
      <w:pPr>
        <w:pStyle w:val="5"/>
        <w:adjustRightInd w:val="0"/>
        <w:snapToGrid w:val="0"/>
        <w:spacing w:line="430" w:lineRule="exact"/>
        <w:ind w:firstLine="480"/>
        <w:rPr>
          <w:rFonts w:hint="eastAsia" w:ascii="黑体" w:hAnsi="宋体" w:eastAsia="黑体"/>
          <w:snapToGrid w:val="0"/>
          <w:color w:val="000000"/>
          <w:kern w:val="0"/>
          <w:sz w:val="24"/>
        </w:rPr>
      </w:pPr>
      <w:r>
        <w:rPr>
          <w:rFonts w:hint="eastAsia" w:ascii="黑体" w:hAnsi="宋体" w:eastAsia="黑体"/>
          <w:snapToGrid w:val="0"/>
          <w:color w:val="000000"/>
          <w:kern w:val="0"/>
          <w:sz w:val="24"/>
        </w:rPr>
        <w:t>十二、血友病</w:t>
      </w:r>
    </w:p>
    <w:p>
      <w:pPr>
        <w:adjustRightInd w:val="0"/>
        <w:snapToGrid w:val="0"/>
        <w:spacing w:line="430" w:lineRule="exact"/>
        <w:ind w:firstLine="360" w:firstLineChars="150"/>
        <w:rPr>
          <w:rFonts w:hint="eastAsia" w:ascii="方正楷体简体" w:hAnsi="宋体" w:eastAsia="方正楷体简体"/>
          <w:snapToGrid w:val="0"/>
          <w:color w:val="000000"/>
          <w:kern w:val="0"/>
          <w:sz w:val="24"/>
        </w:rPr>
      </w:pPr>
      <w:r>
        <w:rPr>
          <w:rFonts w:hint="eastAsia" w:ascii="方正楷体简体" w:hAnsi="宋体" w:eastAsia="方正楷体简体"/>
          <w:snapToGrid w:val="0"/>
          <w:color w:val="000000"/>
          <w:kern w:val="0"/>
          <w:sz w:val="24"/>
        </w:rPr>
        <w:t>（一）适用对象。</w:t>
      </w:r>
    </w:p>
    <w:p>
      <w:pPr>
        <w:adjustRightInd w:val="0"/>
        <w:snapToGrid w:val="0"/>
        <w:spacing w:line="430" w:lineRule="exact"/>
        <w:ind w:firstLine="480" w:firstLineChars="200"/>
        <w:rPr>
          <w:rFonts w:ascii="宋体" w:hAnsi="宋体"/>
          <w:snapToGrid w:val="0"/>
          <w:color w:val="000000"/>
          <w:kern w:val="0"/>
          <w:sz w:val="24"/>
        </w:rPr>
      </w:pPr>
      <w:r>
        <w:rPr>
          <w:rFonts w:hint="eastAsia" w:ascii="宋体" w:hAnsi="宋体"/>
          <w:snapToGrid w:val="0"/>
          <w:color w:val="000000"/>
          <w:kern w:val="0"/>
          <w:sz w:val="24"/>
        </w:rPr>
        <w:t>以血友病</w:t>
      </w:r>
      <w:r>
        <w:rPr>
          <w:rFonts w:ascii="宋体" w:hAnsi="宋体"/>
          <w:snapToGrid w:val="0"/>
          <w:color w:val="000000"/>
          <w:kern w:val="0"/>
          <w:sz w:val="24"/>
        </w:rPr>
        <w:t>A</w:t>
      </w:r>
      <w:r>
        <w:rPr>
          <w:rFonts w:hint="eastAsia" w:ascii="宋体" w:hAnsi="宋体"/>
          <w:snapToGrid w:val="0"/>
          <w:color w:val="000000"/>
          <w:kern w:val="0"/>
          <w:sz w:val="24"/>
        </w:rPr>
        <w:t>（</w:t>
      </w:r>
      <w:r>
        <w:rPr>
          <w:rFonts w:ascii="宋体" w:hAnsi="宋体"/>
          <w:snapToGrid w:val="0"/>
          <w:color w:val="000000"/>
          <w:kern w:val="0"/>
          <w:sz w:val="24"/>
        </w:rPr>
        <w:t>ICD-10</w:t>
      </w:r>
      <w:r>
        <w:rPr>
          <w:rFonts w:hint="eastAsia" w:ascii="宋体" w:hAnsi="宋体"/>
          <w:snapToGrid w:val="0"/>
          <w:color w:val="000000"/>
          <w:kern w:val="0"/>
          <w:sz w:val="24"/>
        </w:rPr>
        <w:t>：</w:t>
      </w:r>
      <w:r>
        <w:rPr>
          <w:rFonts w:ascii="宋体" w:hAnsi="宋体"/>
          <w:snapToGrid w:val="0"/>
          <w:color w:val="000000"/>
          <w:kern w:val="0"/>
          <w:sz w:val="24"/>
        </w:rPr>
        <w:t>D66.x01</w:t>
      </w:r>
      <w:r>
        <w:rPr>
          <w:rFonts w:hint="eastAsia" w:ascii="宋体" w:hAnsi="宋体"/>
          <w:snapToGrid w:val="0"/>
          <w:color w:val="000000"/>
          <w:kern w:val="0"/>
          <w:sz w:val="24"/>
        </w:rPr>
        <w:t>）为第一诊断的患者，在定点医疗机构实施治疗发生的费用，纳入新农合重大疾病按病种付费范围。</w:t>
      </w:r>
    </w:p>
    <w:p>
      <w:pPr>
        <w:adjustRightInd w:val="0"/>
        <w:snapToGrid w:val="0"/>
        <w:spacing w:line="430" w:lineRule="exact"/>
        <w:ind w:firstLine="360" w:firstLineChars="150"/>
        <w:rPr>
          <w:rFonts w:hint="eastAsia" w:ascii="方正楷体简体" w:hAnsi="宋体" w:eastAsia="方正楷体简体"/>
          <w:snapToGrid w:val="0"/>
          <w:color w:val="000000"/>
          <w:kern w:val="0"/>
          <w:sz w:val="24"/>
        </w:rPr>
      </w:pPr>
      <w:r>
        <w:rPr>
          <w:rFonts w:hint="eastAsia" w:ascii="方正楷体简体" w:hAnsi="宋体" w:eastAsia="方正楷体简体"/>
          <w:snapToGrid w:val="0"/>
          <w:color w:val="000000"/>
          <w:kern w:val="0"/>
          <w:sz w:val="24"/>
        </w:rPr>
        <w:t>（二）支付条件。</w:t>
      </w:r>
    </w:p>
    <w:p>
      <w:pPr>
        <w:adjustRightInd w:val="0"/>
        <w:snapToGrid w:val="0"/>
        <w:spacing w:line="430" w:lineRule="exact"/>
        <w:ind w:firstLine="480" w:firstLineChars="200"/>
        <w:rPr>
          <w:rFonts w:ascii="宋体" w:hAnsi="宋体"/>
          <w:snapToGrid w:val="0"/>
          <w:color w:val="000000"/>
          <w:kern w:val="0"/>
          <w:sz w:val="24"/>
        </w:rPr>
      </w:pPr>
      <w:r>
        <w:rPr>
          <w:rFonts w:hint="eastAsia" w:ascii="宋体" w:hAnsi="宋体"/>
          <w:snapToGrid w:val="0"/>
          <w:color w:val="000000"/>
          <w:kern w:val="0"/>
          <w:sz w:val="24"/>
        </w:rPr>
        <w:t>根据《血液病诊断和疗效标准》、《临床诊疗指南-血液病学分册》对A型血友病患者进行治疗。首选血浆源性因子VIII制剂，在无条件使用血浆源性因子VIII制剂时，可选用其他治疗方法。</w:t>
      </w:r>
    </w:p>
    <w:p>
      <w:pPr>
        <w:adjustRightInd w:val="0"/>
        <w:snapToGrid w:val="0"/>
        <w:spacing w:line="430" w:lineRule="exact"/>
        <w:ind w:firstLine="360" w:firstLineChars="150"/>
        <w:rPr>
          <w:rFonts w:hint="eastAsia" w:ascii="方正楷体简体" w:hAnsi="宋体" w:eastAsia="方正楷体简体"/>
          <w:snapToGrid w:val="0"/>
          <w:color w:val="000000"/>
          <w:kern w:val="0"/>
          <w:sz w:val="24"/>
        </w:rPr>
      </w:pPr>
      <w:r>
        <w:rPr>
          <w:rFonts w:hint="eastAsia" w:ascii="方正楷体简体" w:hAnsi="宋体" w:eastAsia="方正楷体简体"/>
          <w:snapToGrid w:val="0"/>
          <w:color w:val="000000"/>
          <w:kern w:val="0"/>
          <w:sz w:val="24"/>
        </w:rPr>
        <w:t>（三）支付标准。</w:t>
      </w:r>
    </w:p>
    <w:p>
      <w:pPr>
        <w:adjustRightInd w:val="0"/>
        <w:snapToGrid w:val="0"/>
        <w:spacing w:line="430" w:lineRule="exact"/>
        <w:ind w:firstLine="480" w:firstLineChars="200"/>
        <w:rPr>
          <w:rFonts w:ascii="宋体" w:hAnsi="宋体"/>
          <w:sz w:val="24"/>
        </w:rPr>
      </w:pPr>
      <w:r>
        <w:rPr>
          <w:rFonts w:hint="eastAsia" w:ascii="宋体" w:hAnsi="宋体"/>
          <w:snapToGrid w:val="0"/>
          <w:color w:val="000000"/>
          <w:kern w:val="0"/>
          <w:sz w:val="24"/>
        </w:rPr>
        <w:t>支付费用包括患者全年门诊治疗的费用。患者使用血浆源性因子VIII制剂，医院应在限额支付标准内收取门诊治疗的费用，限额内发生费用的70%由新农合基金支付。患者使用其他方法治疗发生的费用超过限额支付标准的部分，按新农合相关政策进行报销；不足限额支付标准的部分，据实报销。</w:t>
      </w:r>
    </w:p>
    <w:p>
      <w:pPr>
        <w:pStyle w:val="5"/>
        <w:spacing w:line="430" w:lineRule="exact"/>
        <w:ind w:firstLineChars="0"/>
        <w:jc w:val="center"/>
        <w:rPr>
          <w:rFonts w:ascii="宋体" w:hAnsi="宋体"/>
          <w:sz w:val="24"/>
        </w:rPr>
      </w:pPr>
      <w:r>
        <w:rPr>
          <w:rFonts w:hint="eastAsia" w:ascii="宋体" w:hAnsi="宋体"/>
          <w:sz w:val="24"/>
        </w:rPr>
        <w:t>表12 血友病门诊治疗费用的限额支付标准</w:t>
      </w:r>
    </w:p>
    <w:tbl>
      <w:tblPr>
        <w:tblStyle w:val="4"/>
        <w:tblW w:w="6464" w:type="dxa"/>
        <w:jc w:val="center"/>
        <w:tblInd w:w="0" w:type="dxa"/>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
      <w:tblGrid>
        <w:gridCol w:w="3232"/>
        <w:gridCol w:w="3232"/>
      </w:tblGrid>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Ex>
        <w:trPr>
          <w:trHeight w:val="440" w:hRule="atLeast"/>
          <w:jc w:val="center"/>
        </w:trPr>
        <w:tc>
          <w:tcPr>
            <w:tcW w:w="6464" w:type="dxa"/>
            <w:gridSpan w:val="2"/>
            <w:tcBorders>
              <w:bottom w:val="single" w:color="auto" w:sz="4" w:space="0"/>
            </w:tcBorders>
            <w:vAlign w:val="center"/>
          </w:tcPr>
          <w:p>
            <w:pPr>
              <w:spacing w:line="410" w:lineRule="exact"/>
              <w:jc w:val="center"/>
              <w:rPr>
                <w:rFonts w:ascii="宋体" w:hAnsi="宋体"/>
                <w:b/>
                <w:bCs/>
                <w:szCs w:val="21"/>
              </w:rPr>
            </w:pPr>
            <w:r>
              <w:rPr>
                <w:rFonts w:hint="eastAsia" w:ascii="宋体" w:hAnsi="宋体"/>
                <w:b/>
                <w:bCs/>
                <w:szCs w:val="21"/>
              </w:rPr>
              <w:t>三级医院（万元）</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Ex>
        <w:trPr>
          <w:trHeight w:val="354" w:hRule="atLeast"/>
          <w:jc w:val="center"/>
        </w:trPr>
        <w:tc>
          <w:tcPr>
            <w:tcW w:w="3232" w:type="dxa"/>
            <w:tcBorders>
              <w:bottom w:val="nil"/>
            </w:tcBorders>
            <w:vAlign w:val="center"/>
          </w:tcPr>
          <w:p>
            <w:pPr>
              <w:spacing w:line="410" w:lineRule="exact"/>
              <w:jc w:val="center"/>
              <w:rPr>
                <w:rFonts w:ascii="宋体" w:hAnsi="宋体"/>
                <w:b/>
                <w:szCs w:val="21"/>
              </w:rPr>
            </w:pPr>
            <w:r>
              <w:rPr>
                <w:rFonts w:hint="eastAsia" w:ascii="宋体" w:hAnsi="宋体"/>
                <w:b/>
                <w:szCs w:val="21"/>
              </w:rPr>
              <w:t xml:space="preserve">           支付标准</w:t>
            </w:r>
          </w:p>
        </w:tc>
        <w:tc>
          <w:tcPr>
            <w:tcW w:w="3232" w:type="dxa"/>
            <w:tcBorders>
              <w:bottom w:val="nil"/>
            </w:tcBorders>
            <w:vAlign w:val="center"/>
          </w:tcPr>
          <w:p>
            <w:pPr>
              <w:spacing w:line="410" w:lineRule="exact"/>
              <w:ind w:firstLine="1033" w:firstLineChars="490"/>
              <w:rPr>
                <w:rFonts w:ascii="宋体" w:hAnsi="宋体"/>
                <w:b/>
                <w:szCs w:val="21"/>
              </w:rPr>
            </w:pPr>
            <w:r>
              <w:rPr>
                <w:rFonts w:hint="eastAsia" w:ascii="宋体" w:hAnsi="宋体"/>
                <w:b/>
                <w:szCs w:val="21"/>
              </w:rPr>
              <w:t>新农合支付</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Ex>
        <w:trPr>
          <w:trHeight w:val="208" w:hRule="atLeast"/>
          <w:jc w:val="center"/>
        </w:trPr>
        <w:tc>
          <w:tcPr>
            <w:tcW w:w="3232" w:type="dxa"/>
            <w:tcBorders>
              <w:top w:val="nil"/>
            </w:tcBorders>
            <w:vAlign w:val="center"/>
          </w:tcPr>
          <w:p>
            <w:pPr>
              <w:spacing w:line="410" w:lineRule="exact"/>
              <w:jc w:val="center"/>
              <w:rPr>
                <w:rFonts w:ascii="宋体" w:hAnsi="宋体"/>
                <w:szCs w:val="21"/>
              </w:rPr>
            </w:pPr>
            <w:r>
              <w:rPr>
                <w:rFonts w:hint="eastAsia" w:ascii="宋体" w:hAnsi="宋体"/>
                <w:szCs w:val="21"/>
              </w:rPr>
              <w:t xml:space="preserve">           </w:t>
            </w:r>
            <w:r>
              <w:rPr>
                <w:rFonts w:ascii="宋体" w:hAnsi="宋体"/>
                <w:szCs w:val="21"/>
              </w:rPr>
              <w:t>3.36</w:t>
            </w:r>
          </w:p>
        </w:tc>
        <w:tc>
          <w:tcPr>
            <w:tcW w:w="3232" w:type="dxa"/>
            <w:tcBorders>
              <w:top w:val="nil"/>
            </w:tcBorders>
            <w:vAlign w:val="center"/>
          </w:tcPr>
          <w:p>
            <w:pPr>
              <w:spacing w:line="410" w:lineRule="exact"/>
              <w:ind w:firstLine="1365" w:firstLineChars="650"/>
              <w:rPr>
                <w:rFonts w:ascii="宋体" w:hAnsi="宋体"/>
                <w:szCs w:val="21"/>
              </w:rPr>
            </w:pPr>
            <w:r>
              <w:rPr>
                <w:rFonts w:ascii="宋体" w:hAnsi="宋体"/>
                <w:szCs w:val="21"/>
              </w:rPr>
              <w:t>2.35</w:t>
            </w:r>
          </w:p>
        </w:tc>
      </w:tr>
    </w:tbl>
    <w:p>
      <w:pPr>
        <w:pStyle w:val="5"/>
        <w:adjustRightInd w:val="0"/>
        <w:snapToGrid w:val="0"/>
        <w:spacing w:line="430" w:lineRule="exact"/>
        <w:ind w:firstLine="482"/>
        <w:rPr>
          <w:rFonts w:hint="eastAsia" w:ascii="黑体" w:hAnsi="宋体" w:eastAsia="黑体"/>
          <w:b/>
          <w:bCs/>
          <w:snapToGrid w:val="0"/>
          <w:color w:val="000000"/>
          <w:kern w:val="0"/>
          <w:sz w:val="24"/>
        </w:rPr>
      </w:pPr>
      <w:r>
        <w:rPr>
          <w:rFonts w:hint="eastAsia" w:ascii="黑体" w:hAnsi="宋体" w:eastAsia="黑体"/>
          <w:b/>
          <w:bCs/>
          <w:snapToGrid w:val="0"/>
          <w:color w:val="000000"/>
          <w:kern w:val="0"/>
          <w:sz w:val="24"/>
        </w:rPr>
        <w:t>十三、重性精神病</w:t>
      </w:r>
    </w:p>
    <w:p>
      <w:pPr>
        <w:adjustRightInd w:val="0"/>
        <w:snapToGrid w:val="0"/>
        <w:spacing w:line="430" w:lineRule="exact"/>
        <w:ind w:firstLine="482" w:firstLineChars="200"/>
        <w:rPr>
          <w:rFonts w:ascii="宋体" w:hAnsi="宋体"/>
          <w:b/>
          <w:bCs/>
          <w:snapToGrid w:val="0"/>
          <w:color w:val="000000"/>
          <w:kern w:val="0"/>
          <w:sz w:val="24"/>
        </w:rPr>
      </w:pPr>
      <w:r>
        <w:rPr>
          <w:rFonts w:hint="eastAsia" w:ascii="宋体" w:hAnsi="宋体"/>
          <w:b/>
          <w:bCs/>
          <w:snapToGrid w:val="0"/>
          <w:color w:val="000000"/>
          <w:kern w:val="0"/>
          <w:sz w:val="24"/>
        </w:rPr>
        <w:t>（一）适用对象。</w:t>
      </w:r>
    </w:p>
    <w:p>
      <w:pPr>
        <w:adjustRightInd w:val="0"/>
        <w:snapToGrid w:val="0"/>
        <w:spacing w:line="430" w:lineRule="exact"/>
        <w:ind w:firstLine="482" w:firstLineChars="200"/>
        <w:rPr>
          <w:rFonts w:ascii="宋体" w:hAnsi="宋体"/>
          <w:b/>
          <w:bCs/>
          <w:snapToGrid w:val="0"/>
          <w:color w:val="000000"/>
          <w:kern w:val="0"/>
          <w:sz w:val="24"/>
        </w:rPr>
      </w:pPr>
      <w:r>
        <w:rPr>
          <w:rFonts w:hint="eastAsia" w:ascii="宋体" w:hAnsi="宋体"/>
          <w:b/>
          <w:bCs/>
          <w:snapToGrid w:val="0"/>
          <w:color w:val="000000"/>
          <w:kern w:val="0"/>
          <w:sz w:val="24"/>
        </w:rPr>
        <w:t>以精神分裂症、分裂情感障碍、偏执性精神病、双相（情感）障碍、癫痫所致精神障碍、精神发育迟滞为第一诊断的患者，在定点医疗机构实施治疗发生的费用，纳入新农合重大疾病按病种付费范围。</w:t>
      </w:r>
    </w:p>
    <w:p>
      <w:pPr>
        <w:adjustRightInd w:val="0"/>
        <w:snapToGrid w:val="0"/>
        <w:spacing w:line="430" w:lineRule="exact"/>
        <w:ind w:firstLine="482" w:firstLineChars="200"/>
        <w:rPr>
          <w:rFonts w:ascii="宋体" w:hAnsi="宋体"/>
          <w:b/>
          <w:bCs/>
          <w:snapToGrid w:val="0"/>
          <w:color w:val="000000"/>
          <w:kern w:val="0"/>
          <w:sz w:val="24"/>
        </w:rPr>
      </w:pPr>
      <w:r>
        <w:rPr>
          <w:rFonts w:hint="eastAsia" w:ascii="宋体" w:hAnsi="宋体"/>
          <w:b/>
          <w:bCs/>
          <w:snapToGrid w:val="0"/>
          <w:color w:val="000000"/>
          <w:kern w:val="0"/>
          <w:sz w:val="24"/>
        </w:rPr>
        <w:t>（二）支付条件。</w:t>
      </w:r>
    </w:p>
    <w:p>
      <w:pPr>
        <w:adjustRightInd w:val="0"/>
        <w:snapToGrid w:val="0"/>
        <w:spacing w:line="430" w:lineRule="exact"/>
        <w:ind w:firstLine="482" w:firstLineChars="200"/>
        <w:rPr>
          <w:rFonts w:hint="eastAsia" w:ascii="宋体" w:hAnsi="宋体"/>
          <w:b/>
          <w:bCs/>
          <w:snapToGrid w:val="0"/>
          <w:color w:val="000000"/>
          <w:kern w:val="0"/>
          <w:sz w:val="24"/>
        </w:rPr>
      </w:pPr>
      <w:r>
        <w:rPr>
          <w:rFonts w:hint="eastAsia" w:ascii="宋体" w:hAnsi="宋体"/>
          <w:b/>
          <w:bCs/>
          <w:snapToGrid w:val="0"/>
          <w:color w:val="000000"/>
          <w:kern w:val="0"/>
          <w:sz w:val="24"/>
        </w:rPr>
        <w:t>治疗过程需按照《卫生部办公厅关于印发双相情感障碍等5个重性精神病病种临床路径的通知》（卫办医政发</w:t>
      </w:r>
      <w:r>
        <w:rPr>
          <w:rFonts w:hint="eastAsia" w:ascii="宋体" w:hAnsi="宋体"/>
          <w:b/>
          <w:bCs/>
          <w:sz w:val="24"/>
        </w:rPr>
        <w:t>〔2012〕</w:t>
      </w:r>
      <w:r>
        <w:rPr>
          <w:rFonts w:hint="eastAsia" w:ascii="宋体" w:hAnsi="宋体"/>
          <w:b/>
          <w:bCs/>
          <w:snapToGrid w:val="0"/>
          <w:color w:val="000000"/>
          <w:kern w:val="0"/>
          <w:sz w:val="24"/>
        </w:rPr>
        <w:t>106号）执行，方可实行按病种付费。</w:t>
      </w:r>
    </w:p>
    <w:p>
      <w:pPr>
        <w:adjustRightInd w:val="0"/>
        <w:snapToGrid w:val="0"/>
        <w:spacing w:line="430" w:lineRule="exact"/>
        <w:ind w:firstLine="482" w:firstLineChars="200"/>
        <w:rPr>
          <w:rFonts w:ascii="宋体" w:hAnsi="宋体"/>
          <w:b/>
          <w:bCs/>
          <w:snapToGrid w:val="0"/>
          <w:color w:val="000000"/>
          <w:kern w:val="0"/>
          <w:sz w:val="24"/>
        </w:rPr>
      </w:pPr>
      <w:r>
        <w:rPr>
          <w:rFonts w:hint="eastAsia" w:ascii="宋体" w:hAnsi="宋体"/>
          <w:b/>
          <w:bCs/>
          <w:snapToGrid w:val="0"/>
          <w:color w:val="000000"/>
          <w:kern w:val="0"/>
          <w:sz w:val="24"/>
        </w:rPr>
        <w:t>（三）支付标准。</w:t>
      </w:r>
    </w:p>
    <w:p>
      <w:pPr>
        <w:adjustRightInd w:val="0"/>
        <w:snapToGrid w:val="0"/>
        <w:spacing w:line="430" w:lineRule="exact"/>
        <w:ind w:firstLine="482" w:firstLineChars="200"/>
        <w:rPr>
          <w:rFonts w:hint="eastAsia" w:ascii="宋体" w:hAnsi="宋体"/>
          <w:b/>
          <w:bCs/>
          <w:sz w:val="24"/>
        </w:rPr>
      </w:pPr>
      <w:r>
        <w:rPr>
          <w:rFonts w:hint="eastAsia" w:ascii="宋体" w:hAnsi="宋体"/>
          <w:b/>
          <w:bCs/>
          <w:snapToGrid w:val="0"/>
          <w:color w:val="000000"/>
          <w:kern w:val="0"/>
          <w:sz w:val="24"/>
        </w:rPr>
        <w:t>支付费用包括患者每次住院期间和全年门诊治疗的费用，对住院患者采取限额支付标准，限额标准内费用的70%（三级医院）或75%（二级医院）由新农合基金支付；门诊费用最高限额为3000元，限额标准内费用的70%由新农合基金支付。</w:t>
      </w:r>
      <w:r>
        <w:rPr>
          <w:rFonts w:ascii="宋体" w:hAnsi="宋体"/>
          <w:b/>
          <w:bCs/>
          <w:snapToGrid w:val="0"/>
          <w:color w:val="000000"/>
          <w:kern w:val="0"/>
          <w:sz w:val="24"/>
        </w:rPr>
        <w:t xml:space="preserve"> </w:t>
      </w:r>
    </w:p>
    <w:p>
      <w:pPr>
        <w:pStyle w:val="5"/>
        <w:spacing w:line="430" w:lineRule="exact"/>
        <w:ind w:firstLine="0" w:firstLineChars="0"/>
        <w:jc w:val="center"/>
        <w:rPr>
          <w:rFonts w:hint="eastAsia" w:ascii="宋体" w:hAnsi="宋体"/>
          <w:sz w:val="24"/>
        </w:rPr>
      </w:pPr>
      <w:r>
        <w:rPr>
          <w:rFonts w:hint="eastAsia" w:ascii="宋体" w:hAnsi="宋体"/>
          <w:sz w:val="24"/>
        </w:rPr>
        <w:t>表13 重性精神病住院治疗费用的限额支付标准</w:t>
      </w:r>
    </w:p>
    <w:tbl>
      <w:tblPr>
        <w:tblStyle w:val="4"/>
        <w:tblW w:w="7484" w:type="dxa"/>
        <w:jc w:val="center"/>
        <w:tblInd w:w="0" w:type="dxa"/>
        <w:tblLayout w:type="fixed"/>
        <w:tblCellMar>
          <w:top w:w="0" w:type="dxa"/>
          <w:left w:w="28" w:type="dxa"/>
          <w:bottom w:w="0" w:type="dxa"/>
          <w:right w:w="28" w:type="dxa"/>
        </w:tblCellMar>
      </w:tblPr>
      <w:tblGrid>
        <w:gridCol w:w="1336"/>
        <w:gridCol w:w="1336"/>
        <w:gridCol w:w="1203"/>
        <w:gridCol w:w="1203"/>
        <w:gridCol w:w="1203"/>
        <w:gridCol w:w="1203"/>
      </w:tblGrid>
      <w:tr>
        <w:tblPrEx>
          <w:tblLayout w:type="fixed"/>
          <w:tblCellMar>
            <w:top w:w="0" w:type="dxa"/>
            <w:left w:w="28" w:type="dxa"/>
            <w:bottom w:w="0" w:type="dxa"/>
            <w:right w:w="28" w:type="dxa"/>
          </w:tblCellMar>
        </w:tblPrEx>
        <w:trPr>
          <w:trHeight w:val="450" w:hRule="atLeast"/>
          <w:jc w:val="center"/>
        </w:trPr>
        <w:tc>
          <w:tcPr>
            <w:tcW w:w="2672" w:type="dxa"/>
            <w:gridSpan w:val="2"/>
            <w:tcBorders>
              <w:top w:val="single" w:color="auto" w:sz="4" w:space="0"/>
              <w:left w:val="nil"/>
              <w:bottom w:val="single" w:color="auto" w:sz="4" w:space="0"/>
              <w:right w:val="nil"/>
            </w:tcBorders>
            <w:vAlign w:val="center"/>
          </w:tcPr>
          <w:p>
            <w:pPr>
              <w:widowControl/>
              <w:spacing w:line="410" w:lineRule="exact"/>
              <w:rPr>
                <w:rFonts w:ascii="宋体" w:hAnsi="宋体" w:cs="宋体"/>
                <w:b/>
                <w:bCs/>
                <w:kern w:val="0"/>
                <w:szCs w:val="21"/>
              </w:rPr>
            </w:pPr>
            <w:r>
              <w:rPr>
                <w:rFonts w:hint="eastAsia" w:ascii="宋体" w:hAnsi="宋体" w:cs="宋体"/>
                <w:b/>
                <w:bCs/>
                <w:kern w:val="0"/>
                <w:szCs w:val="21"/>
              </w:rPr>
              <w:t>省级定点救治医院（万元）</w:t>
            </w:r>
          </w:p>
        </w:tc>
        <w:tc>
          <w:tcPr>
            <w:tcW w:w="2406" w:type="dxa"/>
            <w:gridSpan w:val="2"/>
            <w:tcBorders>
              <w:top w:val="single" w:color="auto" w:sz="4" w:space="0"/>
              <w:left w:val="nil"/>
              <w:bottom w:val="single" w:color="auto" w:sz="4" w:space="0"/>
              <w:right w:val="nil"/>
            </w:tcBorders>
            <w:vAlign w:val="center"/>
          </w:tcPr>
          <w:p>
            <w:pPr>
              <w:widowControl/>
              <w:spacing w:line="410" w:lineRule="exact"/>
              <w:jc w:val="center"/>
              <w:rPr>
                <w:rFonts w:ascii="宋体" w:hAnsi="宋体" w:cs="宋体"/>
                <w:b/>
                <w:bCs/>
                <w:kern w:val="0"/>
                <w:szCs w:val="21"/>
              </w:rPr>
            </w:pPr>
            <w:r>
              <w:rPr>
                <w:rFonts w:hint="eastAsia" w:ascii="宋体" w:hAnsi="宋体" w:cs="宋体"/>
                <w:b/>
                <w:bCs/>
                <w:kern w:val="0"/>
                <w:szCs w:val="21"/>
              </w:rPr>
              <w:t>三级医院（万元）</w:t>
            </w:r>
          </w:p>
        </w:tc>
        <w:tc>
          <w:tcPr>
            <w:tcW w:w="2406" w:type="dxa"/>
            <w:gridSpan w:val="2"/>
            <w:tcBorders>
              <w:top w:val="single" w:color="auto" w:sz="4" w:space="0"/>
              <w:left w:val="nil"/>
              <w:bottom w:val="single" w:color="auto" w:sz="4" w:space="0"/>
              <w:right w:val="nil"/>
            </w:tcBorders>
            <w:vAlign w:val="center"/>
          </w:tcPr>
          <w:p>
            <w:pPr>
              <w:widowControl/>
              <w:spacing w:line="410" w:lineRule="exact"/>
              <w:jc w:val="center"/>
              <w:rPr>
                <w:rFonts w:ascii="宋体" w:hAnsi="宋体" w:cs="宋体"/>
                <w:b/>
                <w:bCs/>
                <w:kern w:val="0"/>
                <w:szCs w:val="21"/>
              </w:rPr>
            </w:pPr>
            <w:r>
              <w:rPr>
                <w:rFonts w:hint="eastAsia" w:ascii="宋体" w:hAnsi="宋体" w:cs="宋体"/>
                <w:b/>
                <w:bCs/>
                <w:kern w:val="0"/>
                <w:szCs w:val="21"/>
              </w:rPr>
              <w:t xml:space="preserve"> 二级医院（万元）</w:t>
            </w:r>
          </w:p>
        </w:tc>
      </w:tr>
      <w:tr>
        <w:tblPrEx>
          <w:tblLayout w:type="fixed"/>
        </w:tblPrEx>
        <w:trPr>
          <w:trHeight w:val="451" w:hRule="atLeast"/>
          <w:jc w:val="center"/>
        </w:trPr>
        <w:tc>
          <w:tcPr>
            <w:tcW w:w="1336" w:type="dxa"/>
            <w:tcBorders>
              <w:top w:val="nil"/>
              <w:left w:val="nil"/>
              <w:bottom w:val="nil"/>
              <w:right w:val="nil"/>
            </w:tcBorders>
            <w:vAlign w:val="center"/>
          </w:tcPr>
          <w:p>
            <w:pPr>
              <w:widowControl/>
              <w:spacing w:line="410" w:lineRule="exact"/>
              <w:jc w:val="center"/>
              <w:rPr>
                <w:rFonts w:ascii="宋体" w:hAnsi="宋体" w:cs="宋体"/>
                <w:b/>
                <w:bCs/>
                <w:kern w:val="0"/>
                <w:szCs w:val="21"/>
              </w:rPr>
            </w:pPr>
            <w:r>
              <w:rPr>
                <w:rFonts w:hint="eastAsia" w:ascii="宋体" w:hAnsi="宋体" w:cs="宋体"/>
                <w:b/>
                <w:bCs/>
                <w:kern w:val="0"/>
                <w:szCs w:val="21"/>
              </w:rPr>
              <w:t>支付标准</w:t>
            </w:r>
          </w:p>
        </w:tc>
        <w:tc>
          <w:tcPr>
            <w:tcW w:w="1336" w:type="dxa"/>
            <w:tcBorders>
              <w:top w:val="nil"/>
              <w:left w:val="nil"/>
              <w:bottom w:val="nil"/>
              <w:right w:val="nil"/>
            </w:tcBorders>
            <w:vAlign w:val="center"/>
          </w:tcPr>
          <w:p>
            <w:pPr>
              <w:widowControl/>
              <w:spacing w:line="410" w:lineRule="exact"/>
              <w:jc w:val="center"/>
              <w:rPr>
                <w:rFonts w:ascii="宋体" w:hAnsi="宋体" w:cs="宋体"/>
                <w:b/>
                <w:bCs/>
                <w:kern w:val="0"/>
                <w:szCs w:val="21"/>
              </w:rPr>
            </w:pPr>
            <w:r>
              <w:rPr>
                <w:rFonts w:hint="eastAsia" w:ascii="宋体" w:hAnsi="宋体" w:cs="宋体"/>
                <w:b/>
                <w:bCs/>
                <w:kern w:val="0"/>
                <w:szCs w:val="21"/>
              </w:rPr>
              <w:t>新农合支付</w:t>
            </w:r>
          </w:p>
        </w:tc>
        <w:tc>
          <w:tcPr>
            <w:tcW w:w="1203" w:type="dxa"/>
            <w:tcBorders>
              <w:top w:val="nil"/>
              <w:left w:val="nil"/>
              <w:bottom w:val="nil"/>
              <w:right w:val="nil"/>
            </w:tcBorders>
            <w:vAlign w:val="center"/>
          </w:tcPr>
          <w:p>
            <w:pPr>
              <w:widowControl/>
              <w:spacing w:line="410" w:lineRule="exact"/>
              <w:jc w:val="center"/>
              <w:rPr>
                <w:rFonts w:ascii="宋体" w:hAnsi="宋体" w:cs="宋体"/>
                <w:b/>
                <w:bCs/>
                <w:kern w:val="0"/>
                <w:szCs w:val="21"/>
              </w:rPr>
            </w:pPr>
            <w:r>
              <w:rPr>
                <w:rFonts w:hint="eastAsia" w:ascii="宋体" w:hAnsi="宋体" w:cs="宋体"/>
                <w:b/>
                <w:bCs/>
                <w:kern w:val="0"/>
                <w:szCs w:val="21"/>
              </w:rPr>
              <w:t>支付标准</w:t>
            </w:r>
          </w:p>
        </w:tc>
        <w:tc>
          <w:tcPr>
            <w:tcW w:w="1203" w:type="dxa"/>
            <w:tcBorders>
              <w:top w:val="nil"/>
              <w:left w:val="nil"/>
              <w:bottom w:val="nil"/>
              <w:right w:val="nil"/>
            </w:tcBorders>
            <w:vAlign w:val="center"/>
          </w:tcPr>
          <w:p>
            <w:pPr>
              <w:widowControl/>
              <w:spacing w:line="410" w:lineRule="exact"/>
              <w:jc w:val="center"/>
              <w:rPr>
                <w:rFonts w:ascii="宋体" w:hAnsi="宋体" w:cs="宋体"/>
                <w:b/>
                <w:bCs/>
                <w:kern w:val="0"/>
                <w:szCs w:val="21"/>
              </w:rPr>
            </w:pPr>
            <w:r>
              <w:rPr>
                <w:rFonts w:hint="eastAsia" w:ascii="宋体" w:hAnsi="宋体" w:cs="宋体"/>
                <w:b/>
                <w:bCs/>
                <w:kern w:val="0"/>
                <w:szCs w:val="21"/>
              </w:rPr>
              <w:t>新农合支付</w:t>
            </w:r>
          </w:p>
        </w:tc>
        <w:tc>
          <w:tcPr>
            <w:tcW w:w="1203" w:type="dxa"/>
            <w:tcBorders>
              <w:top w:val="nil"/>
              <w:left w:val="nil"/>
              <w:bottom w:val="nil"/>
              <w:right w:val="nil"/>
            </w:tcBorders>
            <w:vAlign w:val="center"/>
          </w:tcPr>
          <w:p>
            <w:pPr>
              <w:widowControl/>
              <w:spacing w:line="410" w:lineRule="exact"/>
              <w:jc w:val="center"/>
              <w:rPr>
                <w:rFonts w:ascii="宋体" w:hAnsi="宋体" w:cs="宋体"/>
                <w:b/>
                <w:bCs/>
                <w:kern w:val="0"/>
                <w:szCs w:val="21"/>
              </w:rPr>
            </w:pPr>
            <w:r>
              <w:rPr>
                <w:rFonts w:hint="eastAsia" w:ascii="宋体" w:hAnsi="宋体" w:cs="宋体"/>
                <w:b/>
                <w:bCs/>
                <w:kern w:val="0"/>
                <w:szCs w:val="21"/>
              </w:rPr>
              <w:t>支付标准</w:t>
            </w:r>
          </w:p>
        </w:tc>
        <w:tc>
          <w:tcPr>
            <w:tcW w:w="1203" w:type="dxa"/>
            <w:tcBorders>
              <w:top w:val="nil"/>
              <w:left w:val="nil"/>
              <w:bottom w:val="nil"/>
              <w:right w:val="nil"/>
            </w:tcBorders>
            <w:vAlign w:val="center"/>
          </w:tcPr>
          <w:p>
            <w:pPr>
              <w:widowControl/>
              <w:spacing w:line="410" w:lineRule="exact"/>
              <w:jc w:val="center"/>
              <w:rPr>
                <w:rFonts w:ascii="宋体" w:hAnsi="宋体" w:cs="宋体"/>
                <w:b/>
                <w:bCs/>
                <w:kern w:val="0"/>
                <w:szCs w:val="21"/>
              </w:rPr>
            </w:pPr>
            <w:r>
              <w:rPr>
                <w:rFonts w:hint="eastAsia" w:ascii="宋体" w:hAnsi="宋体" w:cs="宋体"/>
                <w:b/>
                <w:bCs/>
                <w:kern w:val="0"/>
                <w:szCs w:val="21"/>
              </w:rPr>
              <w:t>新农合支付</w:t>
            </w:r>
          </w:p>
        </w:tc>
      </w:tr>
      <w:tr>
        <w:tblPrEx>
          <w:tblLayout w:type="fixed"/>
          <w:tblCellMar>
            <w:top w:w="0" w:type="dxa"/>
            <w:left w:w="28" w:type="dxa"/>
            <w:bottom w:w="0" w:type="dxa"/>
            <w:right w:w="28" w:type="dxa"/>
          </w:tblCellMar>
        </w:tblPrEx>
        <w:trPr>
          <w:trHeight w:val="451" w:hRule="atLeast"/>
          <w:jc w:val="center"/>
        </w:trPr>
        <w:tc>
          <w:tcPr>
            <w:tcW w:w="1336" w:type="dxa"/>
            <w:tcBorders>
              <w:top w:val="nil"/>
              <w:left w:val="nil"/>
              <w:bottom w:val="single" w:color="auto" w:sz="4" w:space="0"/>
              <w:right w:val="nil"/>
            </w:tcBorders>
            <w:vAlign w:val="center"/>
          </w:tcPr>
          <w:p>
            <w:pPr>
              <w:widowControl/>
              <w:spacing w:line="410" w:lineRule="exact"/>
              <w:jc w:val="center"/>
              <w:rPr>
                <w:rFonts w:hint="eastAsia" w:ascii="宋体" w:hAnsi="宋体"/>
                <w:kern w:val="0"/>
                <w:szCs w:val="21"/>
              </w:rPr>
            </w:pPr>
            <w:r>
              <w:rPr>
                <w:rFonts w:hint="eastAsia" w:ascii="宋体" w:hAnsi="宋体"/>
                <w:kern w:val="0"/>
                <w:szCs w:val="21"/>
              </w:rPr>
              <w:t>0.53</w:t>
            </w:r>
          </w:p>
        </w:tc>
        <w:tc>
          <w:tcPr>
            <w:tcW w:w="1336" w:type="dxa"/>
            <w:tcBorders>
              <w:top w:val="nil"/>
              <w:left w:val="nil"/>
              <w:bottom w:val="single" w:color="auto" w:sz="4" w:space="0"/>
              <w:right w:val="nil"/>
            </w:tcBorders>
            <w:vAlign w:val="center"/>
          </w:tcPr>
          <w:p>
            <w:pPr>
              <w:widowControl/>
              <w:spacing w:line="410" w:lineRule="exact"/>
              <w:jc w:val="center"/>
              <w:rPr>
                <w:rFonts w:hint="eastAsia" w:ascii="宋体" w:hAnsi="宋体"/>
                <w:kern w:val="0"/>
                <w:szCs w:val="21"/>
              </w:rPr>
            </w:pPr>
            <w:r>
              <w:rPr>
                <w:rFonts w:hint="eastAsia" w:ascii="宋体" w:hAnsi="宋体"/>
                <w:kern w:val="0"/>
                <w:szCs w:val="21"/>
              </w:rPr>
              <w:t>0.37</w:t>
            </w:r>
          </w:p>
        </w:tc>
        <w:tc>
          <w:tcPr>
            <w:tcW w:w="1203" w:type="dxa"/>
            <w:tcBorders>
              <w:top w:val="nil"/>
              <w:left w:val="nil"/>
              <w:bottom w:val="single" w:color="auto" w:sz="4" w:space="0"/>
              <w:right w:val="nil"/>
            </w:tcBorders>
            <w:vAlign w:val="center"/>
          </w:tcPr>
          <w:p>
            <w:pPr>
              <w:widowControl/>
              <w:spacing w:line="410" w:lineRule="exact"/>
              <w:jc w:val="center"/>
              <w:rPr>
                <w:rFonts w:hint="eastAsia" w:ascii="宋体" w:hAnsi="宋体"/>
                <w:kern w:val="0"/>
                <w:szCs w:val="21"/>
              </w:rPr>
            </w:pPr>
            <w:r>
              <w:rPr>
                <w:rFonts w:hint="eastAsia" w:ascii="宋体" w:hAnsi="宋体"/>
                <w:kern w:val="0"/>
                <w:szCs w:val="21"/>
              </w:rPr>
              <w:t>0.5</w:t>
            </w:r>
          </w:p>
        </w:tc>
        <w:tc>
          <w:tcPr>
            <w:tcW w:w="1203" w:type="dxa"/>
            <w:tcBorders>
              <w:top w:val="nil"/>
              <w:left w:val="nil"/>
              <w:bottom w:val="single" w:color="auto" w:sz="4" w:space="0"/>
              <w:right w:val="nil"/>
            </w:tcBorders>
            <w:vAlign w:val="center"/>
          </w:tcPr>
          <w:p>
            <w:pPr>
              <w:widowControl/>
              <w:spacing w:line="410" w:lineRule="exact"/>
              <w:jc w:val="center"/>
              <w:rPr>
                <w:rFonts w:hint="eastAsia" w:ascii="宋体" w:hAnsi="宋体"/>
                <w:kern w:val="0"/>
                <w:szCs w:val="21"/>
              </w:rPr>
            </w:pPr>
            <w:r>
              <w:rPr>
                <w:rFonts w:hint="eastAsia" w:ascii="宋体" w:hAnsi="宋体"/>
                <w:kern w:val="0"/>
                <w:szCs w:val="21"/>
              </w:rPr>
              <w:t>0.35</w:t>
            </w:r>
          </w:p>
        </w:tc>
        <w:tc>
          <w:tcPr>
            <w:tcW w:w="1203" w:type="dxa"/>
            <w:tcBorders>
              <w:top w:val="nil"/>
              <w:left w:val="nil"/>
              <w:bottom w:val="single" w:color="auto" w:sz="4" w:space="0"/>
              <w:right w:val="nil"/>
            </w:tcBorders>
            <w:vAlign w:val="center"/>
          </w:tcPr>
          <w:p>
            <w:pPr>
              <w:widowControl/>
              <w:spacing w:line="410" w:lineRule="exact"/>
              <w:jc w:val="center"/>
              <w:rPr>
                <w:rFonts w:hint="eastAsia" w:ascii="宋体" w:hAnsi="宋体"/>
                <w:kern w:val="0"/>
                <w:szCs w:val="21"/>
              </w:rPr>
            </w:pPr>
            <w:r>
              <w:rPr>
                <w:rFonts w:hint="eastAsia" w:ascii="宋体" w:hAnsi="宋体"/>
                <w:kern w:val="0"/>
                <w:szCs w:val="21"/>
              </w:rPr>
              <w:t>0.4</w:t>
            </w:r>
          </w:p>
        </w:tc>
        <w:tc>
          <w:tcPr>
            <w:tcW w:w="1203" w:type="dxa"/>
            <w:tcBorders>
              <w:top w:val="nil"/>
              <w:left w:val="nil"/>
              <w:bottom w:val="single" w:color="auto" w:sz="4" w:space="0"/>
              <w:right w:val="nil"/>
            </w:tcBorders>
            <w:vAlign w:val="center"/>
          </w:tcPr>
          <w:p>
            <w:pPr>
              <w:widowControl/>
              <w:spacing w:line="410" w:lineRule="exact"/>
              <w:jc w:val="center"/>
              <w:rPr>
                <w:rFonts w:hint="eastAsia" w:ascii="宋体" w:hAnsi="宋体"/>
                <w:kern w:val="0"/>
                <w:szCs w:val="21"/>
              </w:rPr>
            </w:pPr>
            <w:r>
              <w:rPr>
                <w:rFonts w:hint="eastAsia" w:ascii="宋体" w:hAnsi="宋体"/>
                <w:kern w:val="0"/>
                <w:szCs w:val="21"/>
              </w:rPr>
              <w:t>0.3</w:t>
            </w:r>
          </w:p>
        </w:tc>
      </w:tr>
    </w:tbl>
    <w:p>
      <w:pPr>
        <w:pStyle w:val="5"/>
        <w:adjustRightInd w:val="0"/>
        <w:snapToGrid w:val="0"/>
        <w:spacing w:line="430" w:lineRule="exact"/>
        <w:ind w:firstLine="480"/>
        <w:rPr>
          <w:rFonts w:hint="eastAsia" w:ascii="方正黑体简体" w:hAnsi="宋体" w:eastAsia="方正黑体简体"/>
          <w:snapToGrid w:val="0"/>
          <w:color w:val="000000"/>
          <w:kern w:val="0"/>
          <w:sz w:val="24"/>
        </w:rPr>
      </w:pPr>
      <w:r>
        <w:rPr>
          <w:rFonts w:hint="eastAsia" w:ascii="方正黑体简体" w:hAnsi="宋体" w:eastAsia="方正黑体简体"/>
          <w:snapToGrid w:val="0"/>
          <w:color w:val="000000"/>
          <w:kern w:val="0"/>
          <w:sz w:val="24"/>
        </w:rPr>
        <w:t>十四、</w:t>
      </w:r>
      <w:r>
        <w:rPr>
          <w:rFonts w:hint="eastAsia" w:ascii="宋体" w:hAnsi="宋体"/>
          <w:b/>
          <w:snapToGrid w:val="0"/>
          <w:color w:val="000000"/>
          <w:kern w:val="0"/>
          <w:sz w:val="24"/>
        </w:rPr>
        <w:t>I</w:t>
      </w:r>
      <w:r>
        <w:rPr>
          <w:rFonts w:hint="eastAsia" w:ascii="方正黑体简体" w:hAnsi="宋体" w:eastAsia="方正黑体简体"/>
          <w:snapToGrid w:val="0"/>
          <w:color w:val="000000"/>
          <w:kern w:val="0"/>
          <w:sz w:val="24"/>
        </w:rPr>
        <w:t>型糖尿病</w:t>
      </w:r>
    </w:p>
    <w:p>
      <w:pPr>
        <w:pStyle w:val="5"/>
        <w:adjustRightInd w:val="0"/>
        <w:snapToGrid w:val="0"/>
        <w:spacing w:line="430" w:lineRule="exact"/>
        <w:ind w:firstLine="480"/>
        <w:rPr>
          <w:rFonts w:hint="eastAsia" w:ascii="方正楷体简体" w:hAnsi="宋体" w:eastAsia="方正楷体简体"/>
          <w:snapToGrid w:val="0"/>
          <w:color w:val="000000"/>
          <w:kern w:val="0"/>
          <w:sz w:val="24"/>
        </w:rPr>
      </w:pPr>
      <w:r>
        <w:rPr>
          <w:rFonts w:hint="eastAsia" w:ascii="方正楷体简体" w:hAnsi="宋体" w:eastAsia="方正楷体简体"/>
          <w:snapToGrid w:val="0"/>
          <w:color w:val="000000"/>
          <w:kern w:val="0"/>
          <w:sz w:val="24"/>
        </w:rPr>
        <w:t>（一）适用对象。</w:t>
      </w:r>
    </w:p>
    <w:p>
      <w:pPr>
        <w:adjustRightInd w:val="0"/>
        <w:snapToGrid w:val="0"/>
        <w:spacing w:line="430" w:lineRule="exact"/>
        <w:ind w:firstLine="480" w:firstLineChars="200"/>
        <w:rPr>
          <w:rFonts w:ascii="宋体" w:hAnsi="宋体"/>
          <w:bCs/>
          <w:snapToGrid w:val="0"/>
          <w:color w:val="000000"/>
          <w:kern w:val="0"/>
          <w:sz w:val="24"/>
        </w:rPr>
      </w:pPr>
      <w:r>
        <w:rPr>
          <w:rFonts w:hint="eastAsia" w:ascii="宋体" w:hAnsi="宋体"/>
          <w:snapToGrid w:val="0"/>
          <w:color w:val="000000"/>
          <w:kern w:val="0"/>
          <w:sz w:val="24"/>
        </w:rPr>
        <w:t>以I</w:t>
      </w:r>
      <w:r>
        <w:rPr>
          <w:rFonts w:hint="eastAsia" w:ascii="宋体" w:hAnsi="宋体"/>
          <w:bCs/>
          <w:snapToGrid w:val="0"/>
          <w:color w:val="000000"/>
          <w:kern w:val="0"/>
          <w:sz w:val="24"/>
        </w:rPr>
        <w:t>型糖尿病（不伴急性并发症）</w:t>
      </w:r>
      <w:r>
        <w:rPr>
          <w:rFonts w:hint="eastAsia" w:ascii="宋体" w:hAnsi="宋体"/>
          <w:snapToGrid w:val="0"/>
          <w:color w:val="000000"/>
          <w:kern w:val="0"/>
          <w:sz w:val="24"/>
        </w:rPr>
        <w:t>（ICD-10：E10.2-E10.9）为第一诊断的患者，在定点医疗机构住院期间发生的费用，纳入新农合重大疾病按病种付费范围。</w:t>
      </w:r>
    </w:p>
    <w:p>
      <w:pPr>
        <w:pStyle w:val="5"/>
        <w:adjustRightInd w:val="0"/>
        <w:snapToGrid w:val="0"/>
        <w:spacing w:line="430" w:lineRule="exact"/>
        <w:ind w:firstLine="480"/>
        <w:rPr>
          <w:rFonts w:hint="eastAsia" w:ascii="方正楷体简体" w:hAnsi="宋体" w:eastAsia="方正楷体简体"/>
          <w:snapToGrid w:val="0"/>
          <w:color w:val="000000"/>
          <w:kern w:val="0"/>
          <w:sz w:val="24"/>
        </w:rPr>
      </w:pPr>
      <w:r>
        <w:rPr>
          <w:rFonts w:hint="eastAsia" w:ascii="方正楷体简体" w:hAnsi="宋体" w:eastAsia="方正楷体简体"/>
          <w:snapToGrid w:val="0"/>
          <w:color w:val="000000"/>
          <w:kern w:val="0"/>
          <w:sz w:val="24"/>
        </w:rPr>
        <w:t>（二）支付条件。</w:t>
      </w:r>
    </w:p>
    <w:p>
      <w:pPr>
        <w:pStyle w:val="5"/>
        <w:adjustRightInd w:val="0"/>
        <w:snapToGrid w:val="0"/>
        <w:spacing w:line="430" w:lineRule="exact"/>
        <w:ind w:firstLine="480"/>
        <w:rPr>
          <w:rFonts w:ascii="宋体" w:hAnsi="宋体"/>
          <w:snapToGrid w:val="0"/>
          <w:color w:val="000000"/>
          <w:kern w:val="0"/>
          <w:sz w:val="24"/>
        </w:rPr>
      </w:pPr>
      <w:r>
        <w:rPr>
          <w:rFonts w:hint="eastAsia" w:ascii="宋体" w:hAnsi="宋体"/>
          <w:snapToGrid w:val="0"/>
          <w:color w:val="000000"/>
          <w:kern w:val="0"/>
          <w:sz w:val="24"/>
        </w:rPr>
        <w:t>治疗过程需严格按照《I型糖尿病临床路径（2009年版）》执行，方可实行按病种付费。</w:t>
      </w:r>
    </w:p>
    <w:p>
      <w:pPr>
        <w:pStyle w:val="5"/>
        <w:adjustRightInd w:val="0"/>
        <w:snapToGrid w:val="0"/>
        <w:spacing w:line="430" w:lineRule="exact"/>
        <w:ind w:firstLine="480"/>
        <w:rPr>
          <w:rFonts w:hint="eastAsia" w:ascii="方正楷体简体" w:hAnsi="宋体" w:eastAsia="方正楷体简体"/>
          <w:snapToGrid w:val="0"/>
          <w:color w:val="000000"/>
          <w:kern w:val="0"/>
          <w:sz w:val="24"/>
        </w:rPr>
      </w:pPr>
      <w:r>
        <w:rPr>
          <w:rFonts w:hint="eastAsia" w:ascii="方正楷体简体" w:hAnsi="宋体" w:eastAsia="方正楷体简体"/>
          <w:snapToGrid w:val="0"/>
          <w:color w:val="000000"/>
          <w:kern w:val="0"/>
          <w:sz w:val="24"/>
        </w:rPr>
        <w:t>（三）支付标准。</w:t>
      </w:r>
    </w:p>
    <w:p>
      <w:pPr>
        <w:adjustRightInd w:val="0"/>
        <w:snapToGrid w:val="0"/>
        <w:spacing w:line="430" w:lineRule="exact"/>
        <w:ind w:firstLine="480" w:firstLineChars="200"/>
        <w:rPr>
          <w:rFonts w:ascii="宋体" w:hAnsi="宋体"/>
          <w:snapToGrid w:val="0"/>
          <w:color w:val="000000"/>
          <w:kern w:val="0"/>
          <w:sz w:val="24"/>
        </w:rPr>
      </w:pPr>
      <w:r>
        <w:rPr>
          <w:rFonts w:hint="eastAsia" w:ascii="宋体" w:hAnsi="宋体"/>
          <w:snapToGrid w:val="0"/>
          <w:color w:val="000000"/>
          <w:kern w:val="0"/>
          <w:sz w:val="24"/>
        </w:rPr>
        <w:t>支付费用包括患者每次住院期间和全年门诊治疗的费用，对住院患者采取限额支付标准，限额标准内费用的70%（三级医院）或75%（二级医院）由新农合基金支付；门诊费用最高限额为3000元，限额标准内费用的70%由新农合基金支付。</w:t>
      </w:r>
      <w:r>
        <w:rPr>
          <w:rFonts w:ascii="宋体" w:hAnsi="宋体"/>
          <w:snapToGrid w:val="0"/>
          <w:color w:val="000000"/>
          <w:kern w:val="0"/>
          <w:sz w:val="24"/>
        </w:rPr>
        <w:t xml:space="preserve"> </w:t>
      </w:r>
    </w:p>
    <w:p>
      <w:pPr>
        <w:pStyle w:val="5"/>
        <w:spacing w:line="430" w:lineRule="exact"/>
        <w:ind w:firstLineChars="0"/>
        <w:jc w:val="center"/>
        <w:rPr>
          <w:rFonts w:hint="eastAsia" w:ascii="宋体" w:hAnsi="宋体"/>
          <w:sz w:val="24"/>
        </w:rPr>
      </w:pPr>
      <w:r>
        <w:rPr>
          <w:rFonts w:hint="eastAsia" w:ascii="宋体" w:hAnsi="宋体"/>
          <w:sz w:val="24"/>
        </w:rPr>
        <w:t>表14  I型糖尿病住院治疗费用的限额支付标准</w:t>
      </w:r>
    </w:p>
    <w:tbl>
      <w:tblPr>
        <w:tblStyle w:val="4"/>
        <w:tblW w:w="6464" w:type="dxa"/>
        <w:jc w:val="center"/>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616"/>
        <w:gridCol w:w="1616"/>
        <w:gridCol w:w="1616"/>
        <w:gridCol w:w="1616"/>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59" w:hRule="atLeast"/>
          <w:jc w:val="center"/>
        </w:trPr>
        <w:tc>
          <w:tcPr>
            <w:tcW w:w="3232" w:type="dxa"/>
            <w:gridSpan w:val="2"/>
            <w:tcBorders>
              <w:top w:val="single" w:color="auto" w:sz="4" w:space="0"/>
              <w:bottom w:val="single" w:color="auto" w:sz="4" w:space="0"/>
            </w:tcBorders>
            <w:vAlign w:val="center"/>
          </w:tcPr>
          <w:p>
            <w:pPr>
              <w:spacing w:line="410" w:lineRule="exact"/>
              <w:ind w:firstLine="1136" w:firstLineChars="539"/>
              <w:rPr>
                <w:rFonts w:ascii="宋体" w:hAnsi="宋体"/>
                <w:b/>
                <w:bCs/>
                <w:szCs w:val="21"/>
              </w:rPr>
            </w:pPr>
            <w:r>
              <w:rPr>
                <w:rFonts w:hint="eastAsia" w:ascii="宋体" w:hAnsi="宋体"/>
                <w:b/>
                <w:bCs/>
                <w:szCs w:val="21"/>
              </w:rPr>
              <w:t>三级医院（万元）</w:t>
            </w:r>
          </w:p>
        </w:tc>
        <w:tc>
          <w:tcPr>
            <w:tcW w:w="3232" w:type="dxa"/>
            <w:gridSpan w:val="2"/>
            <w:tcBorders>
              <w:top w:val="single" w:color="auto" w:sz="4" w:space="0"/>
              <w:bottom w:val="single" w:color="auto" w:sz="4" w:space="0"/>
            </w:tcBorders>
            <w:vAlign w:val="center"/>
          </w:tcPr>
          <w:p>
            <w:pPr>
              <w:spacing w:line="410" w:lineRule="exact"/>
              <w:jc w:val="center"/>
              <w:rPr>
                <w:rFonts w:ascii="宋体" w:hAnsi="宋体"/>
                <w:b/>
                <w:bCs/>
                <w:szCs w:val="21"/>
              </w:rPr>
            </w:pPr>
            <w:r>
              <w:rPr>
                <w:rFonts w:hint="eastAsia" w:ascii="宋体" w:hAnsi="宋体"/>
                <w:b/>
                <w:bCs/>
                <w:szCs w:val="21"/>
              </w:rPr>
              <w:t>二级医院（万元）</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58" w:hRule="atLeast"/>
          <w:jc w:val="center"/>
        </w:trPr>
        <w:tc>
          <w:tcPr>
            <w:tcW w:w="1616" w:type="dxa"/>
            <w:tcBorders>
              <w:top w:val="single" w:color="auto" w:sz="4" w:space="0"/>
              <w:bottom w:val="nil"/>
            </w:tcBorders>
            <w:vAlign w:val="center"/>
          </w:tcPr>
          <w:p>
            <w:pPr>
              <w:spacing w:line="410" w:lineRule="exact"/>
              <w:jc w:val="center"/>
              <w:rPr>
                <w:rFonts w:ascii="宋体" w:hAnsi="宋体"/>
                <w:b/>
                <w:szCs w:val="21"/>
              </w:rPr>
            </w:pPr>
            <w:r>
              <w:rPr>
                <w:rFonts w:hint="eastAsia" w:ascii="宋体" w:hAnsi="宋体"/>
                <w:b/>
                <w:szCs w:val="21"/>
              </w:rPr>
              <w:t>支付标准</w:t>
            </w:r>
          </w:p>
        </w:tc>
        <w:tc>
          <w:tcPr>
            <w:tcW w:w="1616" w:type="dxa"/>
            <w:tcBorders>
              <w:top w:val="single" w:color="auto" w:sz="4" w:space="0"/>
              <w:bottom w:val="nil"/>
            </w:tcBorders>
            <w:vAlign w:val="center"/>
          </w:tcPr>
          <w:p>
            <w:pPr>
              <w:spacing w:line="410" w:lineRule="exact"/>
              <w:jc w:val="center"/>
              <w:rPr>
                <w:rFonts w:ascii="宋体" w:hAnsi="宋体"/>
                <w:b/>
                <w:szCs w:val="21"/>
              </w:rPr>
            </w:pPr>
            <w:r>
              <w:rPr>
                <w:rFonts w:hint="eastAsia" w:ascii="宋体" w:hAnsi="宋体"/>
                <w:b/>
                <w:szCs w:val="21"/>
              </w:rPr>
              <w:t>新农合支付</w:t>
            </w:r>
          </w:p>
        </w:tc>
        <w:tc>
          <w:tcPr>
            <w:tcW w:w="1616" w:type="dxa"/>
            <w:tcBorders>
              <w:top w:val="single" w:color="auto" w:sz="4" w:space="0"/>
              <w:bottom w:val="nil"/>
            </w:tcBorders>
            <w:vAlign w:val="center"/>
          </w:tcPr>
          <w:p>
            <w:pPr>
              <w:spacing w:line="410" w:lineRule="exact"/>
              <w:ind w:firstLine="310" w:firstLineChars="147"/>
              <w:jc w:val="center"/>
              <w:rPr>
                <w:rFonts w:ascii="宋体" w:hAnsi="宋体"/>
                <w:b/>
                <w:szCs w:val="21"/>
              </w:rPr>
            </w:pPr>
            <w:r>
              <w:rPr>
                <w:rFonts w:hint="eastAsia" w:ascii="宋体" w:hAnsi="宋体"/>
                <w:b/>
                <w:szCs w:val="21"/>
              </w:rPr>
              <w:t>支付标准</w:t>
            </w:r>
          </w:p>
        </w:tc>
        <w:tc>
          <w:tcPr>
            <w:tcW w:w="1616" w:type="dxa"/>
            <w:tcBorders>
              <w:top w:val="single" w:color="auto" w:sz="4" w:space="0"/>
              <w:bottom w:val="nil"/>
            </w:tcBorders>
            <w:vAlign w:val="center"/>
          </w:tcPr>
          <w:p>
            <w:pPr>
              <w:spacing w:line="410" w:lineRule="exact"/>
              <w:ind w:firstLine="310" w:firstLineChars="147"/>
              <w:jc w:val="center"/>
              <w:rPr>
                <w:rFonts w:ascii="宋体" w:hAnsi="宋体"/>
                <w:b/>
                <w:szCs w:val="21"/>
              </w:rPr>
            </w:pPr>
            <w:r>
              <w:rPr>
                <w:rFonts w:hint="eastAsia" w:ascii="宋体" w:hAnsi="宋体"/>
                <w:b/>
                <w:szCs w:val="21"/>
              </w:rPr>
              <w:t>新农合支付</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9" w:hRule="atLeast"/>
          <w:jc w:val="center"/>
        </w:trPr>
        <w:tc>
          <w:tcPr>
            <w:tcW w:w="1616" w:type="dxa"/>
            <w:tcBorders>
              <w:top w:val="nil"/>
            </w:tcBorders>
            <w:vAlign w:val="center"/>
          </w:tcPr>
          <w:p>
            <w:pPr>
              <w:spacing w:line="410" w:lineRule="exact"/>
              <w:jc w:val="center"/>
              <w:rPr>
                <w:rFonts w:ascii="宋体" w:hAnsi="宋体"/>
                <w:spacing w:val="-20"/>
                <w:szCs w:val="21"/>
              </w:rPr>
            </w:pPr>
            <w:r>
              <w:rPr>
                <w:rFonts w:hint="eastAsia" w:ascii="宋体" w:hAnsi="宋体"/>
                <w:szCs w:val="21"/>
              </w:rPr>
              <w:t>0.6</w:t>
            </w:r>
          </w:p>
        </w:tc>
        <w:tc>
          <w:tcPr>
            <w:tcW w:w="1616" w:type="dxa"/>
            <w:tcBorders>
              <w:top w:val="nil"/>
            </w:tcBorders>
            <w:vAlign w:val="center"/>
          </w:tcPr>
          <w:p>
            <w:pPr>
              <w:spacing w:line="410" w:lineRule="exact"/>
              <w:jc w:val="center"/>
              <w:rPr>
                <w:rFonts w:ascii="宋体" w:hAnsi="宋体"/>
                <w:spacing w:val="-20"/>
                <w:szCs w:val="21"/>
              </w:rPr>
            </w:pPr>
            <w:r>
              <w:rPr>
                <w:rFonts w:hint="eastAsia" w:ascii="宋体" w:hAnsi="宋体"/>
                <w:szCs w:val="21"/>
              </w:rPr>
              <w:t>0.42</w:t>
            </w:r>
          </w:p>
        </w:tc>
        <w:tc>
          <w:tcPr>
            <w:tcW w:w="1616" w:type="dxa"/>
            <w:tcBorders>
              <w:top w:val="nil"/>
            </w:tcBorders>
            <w:vAlign w:val="center"/>
          </w:tcPr>
          <w:p>
            <w:pPr>
              <w:spacing w:line="410" w:lineRule="exact"/>
              <w:jc w:val="center"/>
              <w:rPr>
                <w:rFonts w:ascii="宋体" w:hAnsi="宋体"/>
                <w:spacing w:val="-20"/>
                <w:szCs w:val="21"/>
              </w:rPr>
            </w:pPr>
            <w:r>
              <w:rPr>
                <w:rFonts w:hint="eastAsia" w:ascii="宋体" w:hAnsi="宋体"/>
                <w:spacing w:val="-20"/>
                <w:szCs w:val="21"/>
              </w:rPr>
              <w:t xml:space="preserve">    0.46</w:t>
            </w:r>
          </w:p>
        </w:tc>
        <w:tc>
          <w:tcPr>
            <w:tcW w:w="1616" w:type="dxa"/>
            <w:tcBorders>
              <w:top w:val="nil"/>
            </w:tcBorders>
            <w:vAlign w:val="center"/>
          </w:tcPr>
          <w:p>
            <w:pPr>
              <w:spacing w:line="410" w:lineRule="exact"/>
              <w:ind w:firstLine="935" w:firstLineChars="550"/>
              <w:rPr>
                <w:rFonts w:ascii="宋体" w:hAnsi="宋体"/>
                <w:spacing w:val="-20"/>
                <w:szCs w:val="21"/>
              </w:rPr>
            </w:pPr>
            <w:r>
              <w:rPr>
                <w:rFonts w:hint="eastAsia" w:ascii="宋体" w:hAnsi="宋体"/>
                <w:spacing w:val="-20"/>
                <w:szCs w:val="21"/>
              </w:rPr>
              <w:t>0.35</w:t>
            </w:r>
          </w:p>
        </w:tc>
      </w:tr>
    </w:tbl>
    <w:p>
      <w:pPr>
        <w:pStyle w:val="5"/>
        <w:adjustRightInd w:val="0"/>
        <w:snapToGrid w:val="0"/>
        <w:spacing w:line="430" w:lineRule="exact"/>
        <w:ind w:firstLine="480"/>
        <w:rPr>
          <w:rFonts w:hint="eastAsia" w:ascii="黑体" w:hAnsi="宋体" w:eastAsia="黑体"/>
          <w:snapToGrid w:val="0"/>
          <w:color w:val="000000"/>
          <w:kern w:val="0"/>
          <w:sz w:val="24"/>
        </w:rPr>
      </w:pPr>
      <w:r>
        <w:rPr>
          <w:rFonts w:hint="eastAsia" w:ascii="黑体" w:hAnsi="宋体" w:eastAsia="黑体"/>
          <w:snapToGrid w:val="0"/>
          <w:color w:val="000000"/>
          <w:kern w:val="0"/>
          <w:sz w:val="24"/>
        </w:rPr>
        <w:t>十五、甲亢</w:t>
      </w:r>
    </w:p>
    <w:p>
      <w:pPr>
        <w:pStyle w:val="5"/>
        <w:adjustRightInd w:val="0"/>
        <w:snapToGrid w:val="0"/>
        <w:spacing w:line="430" w:lineRule="exact"/>
        <w:ind w:firstLine="480"/>
        <w:rPr>
          <w:rFonts w:hint="eastAsia" w:ascii="方正楷体简体" w:hAnsi="宋体" w:eastAsia="方正楷体简体"/>
          <w:snapToGrid w:val="0"/>
          <w:color w:val="000000"/>
          <w:kern w:val="0"/>
          <w:sz w:val="24"/>
        </w:rPr>
      </w:pPr>
      <w:r>
        <w:rPr>
          <w:rFonts w:hint="eastAsia" w:ascii="方正楷体简体" w:hAnsi="宋体" w:eastAsia="方正楷体简体"/>
          <w:snapToGrid w:val="0"/>
          <w:color w:val="000000"/>
          <w:kern w:val="0"/>
          <w:sz w:val="24"/>
        </w:rPr>
        <w:t>（一）适用对象。</w:t>
      </w:r>
    </w:p>
    <w:p>
      <w:pPr>
        <w:pStyle w:val="5"/>
        <w:adjustRightInd w:val="0"/>
        <w:snapToGrid w:val="0"/>
        <w:spacing w:line="430" w:lineRule="exact"/>
        <w:ind w:firstLine="480"/>
        <w:rPr>
          <w:rFonts w:ascii="宋体" w:hAnsi="宋体"/>
          <w:snapToGrid w:val="0"/>
          <w:color w:val="000000"/>
          <w:kern w:val="0"/>
          <w:sz w:val="24"/>
        </w:rPr>
      </w:pPr>
      <w:r>
        <w:rPr>
          <w:rFonts w:hint="eastAsia" w:ascii="宋体" w:hAnsi="宋体"/>
          <w:snapToGrid w:val="0"/>
          <w:color w:val="000000"/>
          <w:kern w:val="0"/>
          <w:sz w:val="24"/>
        </w:rPr>
        <w:t>以</w:t>
      </w:r>
      <w:r>
        <w:rPr>
          <w:rFonts w:ascii="宋体" w:hAnsi="宋体"/>
          <w:snapToGrid w:val="0"/>
          <w:color w:val="000000"/>
          <w:kern w:val="0"/>
          <w:sz w:val="24"/>
        </w:rPr>
        <w:t>原发性甲状腺机能亢进症</w:t>
      </w:r>
      <w:r>
        <w:rPr>
          <w:rFonts w:hint="eastAsia" w:ascii="宋体" w:hAnsi="宋体"/>
          <w:snapToGrid w:val="0"/>
          <w:color w:val="000000"/>
          <w:kern w:val="0"/>
          <w:sz w:val="24"/>
        </w:rPr>
        <w:t>（ICD-10：E05.0）为第一诊断的甲亢患者，在定点医疗机构门诊治疗发生的费用，纳入新农合重大疾病按病种付费范围。</w:t>
      </w:r>
    </w:p>
    <w:p>
      <w:pPr>
        <w:pStyle w:val="5"/>
        <w:adjustRightInd w:val="0"/>
        <w:snapToGrid w:val="0"/>
        <w:spacing w:line="430" w:lineRule="exact"/>
        <w:ind w:firstLine="480"/>
        <w:rPr>
          <w:rFonts w:hint="eastAsia" w:ascii="方正楷体简体" w:hAnsi="宋体" w:eastAsia="方正楷体简体"/>
          <w:snapToGrid w:val="0"/>
          <w:color w:val="000000"/>
          <w:kern w:val="0"/>
          <w:sz w:val="24"/>
        </w:rPr>
      </w:pPr>
      <w:r>
        <w:rPr>
          <w:rFonts w:hint="eastAsia" w:ascii="方正楷体简体" w:hAnsi="宋体" w:eastAsia="方正楷体简体"/>
          <w:snapToGrid w:val="0"/>
          <w:color w:val="000000"/>
          <w:kern w:val="0"/>
          <w:sz w:val="24"/>
        </w:rPr>
        <w:t>（二）支付条件。</w:t>
      </w:r>
    </w:p>
    <w:p>
      <w:pPr>
        <w:adjustRightInd w:val="0"/>
        <w:snapToGrid w:val="0"/>
        <w:spacing w:line="430" w:lineRule="exact"/>
        <w:ind w:firstLine="480" w:firstLineChars="200"/>
        <w:rPr>
          <w:rFonts w:ascii="宋体" w:hAnsi="宋体"/>
          <w:snapToGrid w:val="0"/>
          <w:color w:val="000000"/>
          <w:kern w:val="0"/>
          <w:sz w:val="24"/>
        </w:rPr>
      </w:pPr>
      <w:r>
        <w:rPr>
          <w:rFonts w:hint="eastAsia" w:ascii="宋体" w:hAnsi="宋体"/>
          <w:snapToGrid w:val="0"/>
          <w:color w:val="000000"/>
          <w:kern w:val="0"/>
          <w:sz w:val="24"/>
        </w:rPr>
        <w:t>治疗过程需严格按照《</w:t>
      </w:r>
      <w:r>
        <w:rPr>
          <w:rFonts w:ascii="宋体" w:hAnsi="宋体"/>
          <w:snapToGrid w:val="0"/>
          <w:color w:val="000000"/>
          <w:kern w:val="0"/>
          <w:sz w:val="24"/>
        </w:rPr>
        <w:t>原发性甲状腺机能亢进症临床路径</w:t>
      </w:r>
      <w:r>
        <w:rPr>
          <w:rFonts w:hint="eastAsia" w:ascii="宋体" w:hAnsi="宋体"/>
          <w:snapToGrid w:val="0"/>
          <w:color w:val="000000"/>
          <w:kern w:val="0"/>
          <w:sz w:val="24"/>
        </w:rPr>
        <w:t>（2011年版）》执行，方可实行按病种付费。</w:t>
      </w:r>
    </w:p>
    <w:p>
      <w:pPr>
        <w:pStyle w:val="5"/>
        <w:adjustRightInd w:val="0"/>
        <w:snapToGrid w:val="0"/>
        <w:spacing w:line="430" w:lineRule="exact"/>
        <w:ind w:firstLine="480"/>
        <w:rPr>
          <w:rFonts w:hint="eastAsia" w:ascii="方正楷体简体" w:hAnsi="宋体" w:eastAsia="方正楷体简体"/>
          <w:snapToGrid w:val="0"/>
          <w:color w:val="000000"/>
          <w:kern w:val="0"/>
          <w:sz w:val="24"/>
        </w:rPr>
      </w:pPr>
      <w:r>
        <w:rPr>
          <w:rFonts w:hint="eastAsia" w:ascii="方正楷体简体" w:hAnsi="宋体" w:eastAsia="方正楷体简体"/>
          <w:snapToGrid w:val="0"/>
          <w:color w:val="000000"/>
          <w:kern w:val="0"/>
          <w:sz w:val="24"/>
        </w:rPr>
        <w:t>（三）支付标准。</w:t>
      </w:r>
    </w:p>
    <w:p>
      <w:pPr>
        <w:adjustRightInd w:val="0"/>
        <w:snapToGrid w:val="0"/>
        <w:spacing w:line="430" w:lineRule="exact"/>
        <w:ind w:firstLine="480" w:firstLineChars="200"/>
        <w:rPr>
          <w:rFonts w:ascii="宋体" w:hAnsi="宋体"/>
          <w:b/>
          <w:sz w:val="24"/>
        </w:rPr>
      </w:pPr>
      <w:r>
        <w:rPr>
          <w:rFonts w:hint="eastAsia" w:ascii="宋体" w:hAnsi="宋体"/>
          <w:snapToGrid w:val="0"/>
          <w:color w:val="000000"/>
          <w:kern w:val="0"/>
          <w:sz w:val="24"/>
        </w:rPr>
        <w:t>支付的费用包括患者每次住院手术治疗发生的费用和全年门诊发生的费用。手术支付的费用包括患者每次住院期间发生的费用，医院应按照定额支付标准收取费用，其中三级医院相应标准的70%，二级医院相应标准的75%由新农合基金支付；门诊费用包括肝功能、甲状腺彩超、甲功全套、TRAB、吸碘率、血常规检查和常见门诊治疗药物费用。门诊费用最高限额为4000元，限额标准内费用的70%由新农合基金支付。</w:t>
      </w:r>
      <w:r>
        <w:rPr>
          <w:rFonts w:ascii="宋体" w:hAnsi="宋体"/>
          <w:b/>
          <w:sz w:val="24"/>
        </w:rPr>
        <w:t xml:space="preserve"> </w:t>
      </w:r>
    </w:p>
    <w:p>
      <w:pPr>
        <w:spacing w:line="430" w:lineRule="exact"/>
        <w:jc w:val="center"/>
        <w:rPr>
          <w:rFonts w:hint="eastAsia" w:ascii="宋体" w:hAnsi="宋体"/>
          <w:sz w:val="24"/>
        </w:rPr>
      </w:pPr>
      <w:r>
        <w:rPr>
          <w:rFonts w:hint="eastAsia" w:ascii="宋体" w:hAnsi="宋体"/>
          <w:sz w:val="24"/>
        </w:rPr>
        <w:t>表15   甲亢住院手术治疗费用的定额支付标准</w:t>
      </w:r>
    </w:p>
    <w:tbl>
      <w:tblPr>
        <w:tblStyle w:val="4"/>
        <w:tblW w:w="6464" w:type="dxa"/>
        <w:jc w:val="center"/>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616"/>
        <w:gridCol w:w="1616"/>
        <w:gridCol w:w="1616"/>
        <w:gridCol w:w="1616"/>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40" w:hRule="atLeast"/>
          <w:jc w:val="center"/>
        </w:trPr>
        <w:tc>
          <w:tcPr>
            <w:tcW w:w="3232" w:type="dxa"/>
            <w:gridSpan w:val="2"/>
            <w:tcBorders>
              <w:top w:val="single" w:color="auto" w:sz="4" w:space="0"/>
              <w:bottom w:val="single" w:color="auto" w:sz="4" w:space="0"/>
              <w:right w:val="nil"/>
            </w:tcBorders>
            <w:vAlign w:val="center"/>
          </w:tcPr>
          <w:p>
            <w:pPr>
              <w:spacing w:line="410" w:lineRule="exact"/>
              <w:ind w:firstLine="1136" w:firstLineChars="539"/>
              <w:rPr>
                <w:rFonts w:ascii="宋体" w:hAnsi="宋体"/>
                <w:b/>
                <w:bCs/>
                <w:szCs w:val="21"/>
              </w:rPr>
            </w:pPr>
            <w:r>
              <w:rPr>
                <w:rFonts w:hint="eastAsia" w:ascii="宋体" w:hAnsi="宋体"/>
                <w:b/>
                <w:bCs/>
                <w:szCs w:val="21"/>
              </w:rPr>
              <w:t>三级医院（万元）</w:t>
            </w:r>
          </w:p>
        </w:tc>
        <w:tc>
          <w:tcPr>
            <w:tcW w:w="3232" w:type="dxa"/>
            <w:gridSpan w:val="2"/>
            <w:tcBorders>
              <w:top w:val="single" w:color="auto" w:sz="4" w:space="0"/>
              <w:left w:val="nil"/>
              <w:bottom w:val="single" w:color="auto" w:sz="4" w:space="0"/>
            </w:tcBorders>
            <w:vAlign w:val="center"/>
          </w:tcPr>
          <w:p>
            <w:pPr>
              <w:spacing w:line="410" w:lineRule="exact"/>
              <w:jc w:val="center"/>
              <w:rPr>
                <w:rFonts w:ascii="宋体" w:hAnsi="宋体"/>
                <w:b/>
                <w:bCs/>
                <w:szCs w:val="21"/>
              </w:rPr>
            </w:pPr>
            <w:r>
              <w:rPr>
                <w:rFonts w:hint="eastAsia" w:ascii="宋体" w:hAnsi="宋体"/>
                <w:b/>
                <w:bCs/>
                <w:szCs w:val="21"/>
              </w:rPr>
              <w:t>二级医院（万元）</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39" w:hRule="atLeast"/>
          <w:jc w:val="center"/>
        </w:trPr>
        <w:tc>
          <w:tcPr>
            <w:tcW w:w="1616" w:type="dxa"/>
            <w:tcBorders>
              <w:top w:val="single" w:color="auto" w:sz="4" w:space="0"/>
              <w:bottom w:val="nil"/>
              <w:right w:val="nil"/>
            </w:tcBorders>
            <w:vAlign w:val="center"/>
          </w:tcPr>
          <w:p>
            <w:pPr>
              <w:spacing w:line="410" w:lineRule="exact"/>
              <w:jc w:val="center"/>
              <w:rPr>
                <w:rFonts w:ascii="宋体" w:hAnsi="宋体"/>
                <w:b/>
                <w:szCs w:val="21"/>
              </w:rPr>
            </w:pPr>
            <w:r>
              <w:rPr>
                <w:rFonts w:hint="eastAsia" w:ascii="宋体" w:hAnsi="宋体"/>
                <w:b/>
                <w:szCs w:val="21"/>
              </w:rPr>
              <w:t>支付标准</w:t>
            </w:r>
          </w:p>
        </w:tc>
        <w:tc>
          <w:tcPr>
            <w:tcW w:w="1616" w:type="dxa"/>
            <w:tcBorders>
              <w:top w:val="single" w:color="auto" w:sz="4" w:space="0"/>
              <w:left w:val="nil"/>
              <w:bottom w:val="nil"/>
              <w:right w:val="nil"/>
            </w:tcBorders>
            <w:vAlign w:val="center"/>
          </w:tcPr>
          <w:p>
            <w:pPr>
              <w:spacing w:line="410" w:lineRule="exact"/>
              <w:jc w:val="center"/>
              <w:rPr>
                <w:rFonts w:ascii="宋体" w:hAnsi="宋体"/>
                <w:b/>
                <w:szCs w:val="21"/>
              </w:rPr>
            </w:pPr>
            <w:r>
              <w:rPr>
                <w:rFonts w:hint="eastAsia" w:ascii="宋体" w:hAnsi="宋体"/>
                <w:b/>
                <w:szCs w:val="21"/>
              </w:rPr>
              <w:t>新农合支付</w:t>
            </w:r>
          </w:p>
        </w:tc>
        <w:tc>
          <w:tcPr>
            <w:tcW w:w="1616" w:type="dxa"/>
            <w:tcBorders>
              <w:top w:val="single" w:color="auto" w:sz="4" w:space="0"/>
              <w:left w:val="nil"/>
              <w:bottom w:val="nil"/>
              <w:right w:val="nil"/>
            </w:tcBorders>
            <w:vAlign w:val="center"/>
          </w:tcPr>
          <w:p>
            <w:pPr>
              <w:spacing w:line="410" w:lineRule="exact"/>
              <w:ind w:firstLine="411" w:firstLineChars="195"/>
              <w:jc w:val="center"/>
              <w:rPr>
                <w:rFonts w:ascii="宋体" w:hAnsi="宋体"/>
                <w:b/>
                <w:szCs w:val="21"/>
              </w:rPr>
            </w:pPr>
            <w:r>
              <w:rPr>
                <w:rFonts w:hint="eastAsia" w:ascii="宋体" w:hAnsi="宋体"/>
                <w:b/>
                <w:szCs w:val="21"/>
              </w:rPr>
              <w:t>支付标准</w:t>
            </w:r>
          </w:p>
        </w:tc>
        <w:tc>
          <w:tcPr>
            <w:tcW w:w="1616" w:type="dxa"/>
            <w:tcBorders>
              <w:top w:val="single" w:color="auto" w:sz="4" w:space="0"/>
              <w:left w:val="nil"/>
              <w:bottom w:val="nil"/>
            </w:tcBorders>
            <w:vAlign w:val="center"/>
          </w:tcPr>
          <w:p>
            <w:pPr>
              <w:spacing w:line="410" w:lineRule="exact"/>
              <w:jc w:val="center"/>
              <w:rPr>
                <w:rFonts w:ascii="宋体" w:hAnsi="宋体"/>
                <w:b/>
                <w:szCs w:val="21"/>
              </w:rPr>
            </w:pPr>
            <w:r>
              <w:rPr>
                <w:rFonts w:hint="eastAsia" w:ascii="宋体" w:hAnsi="宋体"/>
                <w:b/>
                <w:szCs w:val="21"/>
              </w:rPr>
              <w:t>新农合支付</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25" w:hRule="atLeast"/>
          <w:jc w:val="center"/>
        </w:trPr>
        <w:tc>
          <w:tcPr>
            <w:tcW w:w="1616" w:type="dxa"/>
            <w:tcBorders>
              <w:top w:val="nil"/>
            </w:tcBorders>
            <w:vAlign w:val="center"/>
          </w:tcPr>
          <w:p>
            <w:pPr>
              <w:spacing w:line="410" w:lineRule="exact"/>
              <w:jc w:val="center"/>
              <w:rPr>
                <w:rFonts w:ascii="宋体" w:hAnsi="宋体"/>
                <w:spacing w:val="-20"/>
                <w:szCs w:val="21"/>
              </w:rPr>
            </w:pPr>
            <w:r>
              <w:rPr>
                <w:rFonts w:hint="eastAsia" w:ascii="宋体" w:hAnsi="宋体"/>
                <w:szCs w:val="21"/>
              </w:rPr>
              <w:t>0.6</w:t>
            </w:r>
          </w:p>
        </w:tc>
        <w:tc>
          <w:tcPr>
            <w:tcW w:w="1616" w:type="dxa"/>
            <w:tcBorders>
              <w:top w:val="nil"/>
            </w:tcBorders>
            <w:vAlign w:val="center"/>
          </w:tcPr>
          <w:p>
            <w:pPr>
              <w:spacing w:line="410" w:lineRule="exact"/>
              <w:jc w:val="center"/>
              <w:rPr>
                <w:rFonts w:ascii="宋体" w:hAnsi="宋体"/>
                <w:spacing w:val="-20"/>
                <w:szCs w:val="21"/>
              </w:rPr>
            </w:pPr>
            <w:r>
              <w:rPr>
                <w:rFonts w:hint="eastAsia" w:ascii="宋体" w:hAnsi="宋体"/>
                <w:szCs w:val="21"/>
              </w:rPr>
              <w:t>0.42</w:t>
            </w:r>
          </w:p>
        </w:tc>
        <w:tc>
          <w:tcPr>
            <w:tcW w:w="1616" w:type="dxa"/>
            <w:tcBorders>
              <w:top w:val="nil"/>
            </w:tcBorders>
            <w:vAlign w:val="center"/>
          </w:tcPr>
          <w:p>
            <w:pPr>
              <w:spacing w:line="410" w:lineRule="exact"/>
              <w:jc w:val="center"/>
              <w:rPr>
                <w:rFonts w:ascii="宋体" w:hAnsi="宋体"/>
                <w:spacing w:val="-20"/>
                <w:szCs w:val="21"/>
              </w:rPr>
            </w:pPr>
            <w:r>
              <w:rPr>
                <w:rFonts w:hint="eastAsia" w:ascii="宋体" w:hAnsi="宋体"/>
                <w:spacing w:val="-20"/>
                <w:szCs w:val="21"/>
              </w:rPr>
              <w:t xml:space="preserve">     0.40</w:t>
            </w:r>
          </w:p>
        </w:tc>
        <w:tc>
          <w:tcPr>
            <w:tcW w:w="1616" w:type="dxa"/>
            <w:tcBorders>
              <w:top w:val="nil"/>
            </w:tcBorders>
            <w:vAlign w:val="center"/>
          </w:tcPr>
          <w:p>
            <w:pPr>
              <w:spacing w:line="410" w:lineRule="exact"/>
              <w:jc w:val="center"/>
              <w:rPr>
                <w:rFonts w:ascii="宋体" w:hAnsi="宋体"/>
                <w:spacing w:val="-20"/>
                <w:szCs w:val="21"/>
              </w:rPr>
            </w:pPr>
            <w:r>
              <w:rPr>
                <w:rFonts w:hint="eastAsia" w:ascii="宋体" w:hAnsi="宋体"/>
                <w:spacing w:val="-20"/>
                <w:szCs w:val="21"/>
              </w:rPr>
              <w:t>0.30</w:t>
            </w:r>
          </w:p>
        </w:tc>
      </w:tr>
    </w:tbl>
    <w:p>
      <w:pPr>
        <w:pStyle w:val="5"/>
        <w:adjustRightInd w:val="0"/>
        <w:snapToGrid w:val="0"/>
        <w:spacing w:line="430" w:lineRule="exact"/>
        <w:ind w:firstLine="480"/>
        <w:rPr>
          <w:rFonts w:hint="eastAsia" w:ascii="黑体" w:hAnsi="宋体" w:eastAsia="黑体"/>
          <w:snapToGrid w:val="0"/>
          <w:color w:val="000000"/>
          <w:kern w:val="0"/>
          <w:sz w:val="24"/>
        </w:rPr>
      </w:pPr>
      <w:r>
        <w:rPr>
          <w:rFonts w:hint="eastAsia" w:ascii="黑体" w:hAnsi="宋体" w:eastAsia="黑体"/>
          <w:snapToGrid w:val="0"/>
          <w:color w:val="000000"/>
          <w:kern w:val="0"/>
          <w:sz w:val="24"/>
        </w:rPr>
        <w:t>十六、脑梗死</w:t>
      </w:r>
    </w:p>
    <w:p>
      <w:pPr>
        <w:pStyle w:val="5"/>
        <w:adjustRightInd w:val="0"/>
        <w:snapToGrid w:val="0"/>
        <w:spacing w:line="430" w:lineRule="exact"/>
        <w:ind w:firstLine="480"/>
        <w:rPr>
          <w:rFonts w:hint="eastAsia" w:ascii="方正楷体简体" w:hAnsi="宋体" w:eastAsia="方正楷体简体"/>
          <w:snapToGrid w:val="0"/>
          <w:color w:val="000000"/>
          <w:kern w:val="0"/>
          <w:sz w:val="24"/>
        </w:rPr>
      </w:pPr>
      <w:r>
        <w:rPr>
          <w:rFonts w:hint="eastAsia" w:ascii="方正楷体简体" w:hAnsi="宋体" w:eastAsia="方正楷体简体"/>
          <w:snapToGrid w:val="0"/>
          <w:color w:val="000000"/>
          <w:kern w:val="0"/>
          <w:sz w:val="24"/>
        </w:rPr>
        <w:t>（一）适用对象。</w:t>
      </w:r>
    </w:p>
    <w:p>
      <w:pPr>
        <w:adjustRightInd w:val="0"/>
        <w:snapToGrid w:val="0"/>
        <w:spacing w:line="430" w:lineRule="exact"/>
        <w:ind w:firstLine="480" w:firstLineChars="200"/>
        <w:rPr>
          <w:rFonts w:ascii="宋体" w:hAnsi="宋体"/>
          <w:snapToGrid w:val="0"/>
          <w:color w:val="000000"/>
          <w:kern w:val="0"/>
          <w:sz w:val="24"/>
        </w:rPr>
      </w:pPr>
      <w:r>
        <w:rPr>
          <w:rFonts w:hint="eastAsia" w:ascii="宋体" w:hAnsi="宋体"/>
          <w:snapToGrid w:val="0"/>
          <w:color w:val="000000"/>
          <w:kern w:val="0"/>
          <w:sz w:val="24"/>
        </w:rPr>
        <w:t>以急性脑梗死（ICD10：I63）为第一诊断，起病突然，发病时间在2周以内、头部CT/MRI排除颅内出血等神经系统疾病</w:t>
      </w:r>
      <w:r>
        <w:rPr>
          <w:rFonts w:hint="eastAsia" w:ascii="宋体" w:hAnsi="宋体"/>
          <w:bCs/>
          <w:snapToGrid w:val="0"/>
          <w:color w:val="000000"/>
          <w:kern w:val="0"/>
          <w:sz w:val="24"/>
        </w:rPr>
        <w:t>的</w:t>
      </w:r>
      <w:r>
        <w:rPr>
          <w:rFonts w:hint="eastAsia" w:ascii="宋体" w:hAnsi="宋体"/>
          <w:snapToGrid w:val="0"/>
          <w:color w:val="000000"/>
          <w:kern w:val="0"/>
          <w:sz w:val="24"/>
        </w:rPr>
        <w:t>患者，在定点医疗机构住院期间发生的费用，纳入新农合重大疾病按病种付费范围。血管介入治疗的相关费用暂不纳入按病种付费支付方式，按各地新农合补偿政策执行。</w:t>
      </w:r>
    </w:p>
    <w:p>
      <w:pPr>
        <w:pStyle w:val="5"/>
        <w:adjustRightInd w:val="0"/>
        <w:snapToGrid w:val="0"/>
        <w:spacing w:line="430" w:lineRule="exact"/>
        <w:ind w:firstLine="480"/>
        <w:rPr>
          <w:rFonts w:hint="eastAsia" w:ascii="方正楷体简体" w:hAnsi="宋体" w:eastAsia="方正楷体简体"/>
          <w:snapToGrid w:val="0"/>
          <w:color w:val="000000"/>
          <w:kern w:val="0"/>
          <w:sz w:val="24"/>
        </w:rPr>
      </w:pPr>
      <w:r>
        <w:rPr>
          <w:rFonts w:hint="eastAsia" w:ascii="方正楷体简体" w:hAnsi="宋体" w:eastAsia="方正楷体简体"/>
          <w:snapToGrid w:val="0"/>
          <w:color w:val="000000"/>
          <w:kern w:val="0"/>
          <w:sz w:val="24"/>
        </w:rPr>
        <w:t>（二）支付条件。</w:t>
      </w:r>
    </w:p>
    <w:p>
      <w:pPr>
        <w:pStyle w:val="5"/>
        <w:adjustRightInd w:val="0"/>
        <w:snapToGrid w:val="0"/>
        <w:spacing w:line="430" w:lineRule="exact"/>
        <w:ind w:firstLine="480"/>
        <w:rPr>
          <w:rFonts w:ascii="宋体" w:hAnsi="宋体"/>
          <w:snapToGrid w:val="0"/>
          <w:color w:val="000000"/>
          <w:kern w:val="0"/>
          <w:sz w:val="24"/>
        </w:rPr>
      </w:pPr>
      <w:r>
        <w:rPr>
          <w:rFonts w:hint="eastAsia" w:ascii="宋体" w:hAnsi="宋体"/>
          <w:snapToGrid w:val="0"/>
          <w:color w:val="000000"/>
          <w:kern w:val="0"/>
          <w:sz w:val="24"/>
        </w:rPr>
        <w:t>治疗过程需严格按照相关</w:t>
      </w:r>
      <w:r>
        <w:rPr>
          <w:rFonts w:hint="eastAsia" w:ascii="宋体" w:hAnsi="宋体" w:cs="宋体"/>
          <w:snapToGrid w:val="0"/>
          <w:color w:val="000000"/>
          <w:kern w:val="0"/>
          <w:sz w:val="24"/>
        </w:rPr>
        <w:t>临床路径</w:t>
      </w:r>
      <w:r>
        <w:rPr>
          <w:rFonts w:hint="eastAsia" w:ascii="宋体" w:hAnsi="宋体"/>
          <w:snapToGrid w:val="0"/>
          <w:color w:val="000000"/>
          <w:kern w:val="0"/>
          <w:sz w:val="24"/>
        </w:rPr>
        <w:t>执行，方可实行按病种付费。</w:t>
      </w:r>
    </w:p>
    <w:p>
      <w:pPr>
        <w:pStyle w:val="5"/>
        <w:adjustRightInd w:val="0"/>
        <w:snapToGrid w:val="0"/>
        <w:spacing w:line="430" w:lineRule="exact"/>
        <w:ind w:firstLine="480"/>
        <w:rPr>
          <w:rFonts w:hint="eastAsia" w:ascii="方正楷体简体" w:hAnsi="宋体" w:eastAsia="方正楷体简体"/>
          <w:snapToGrid w:val="0"/>
          <w:color w:val="000000"/>
          <w:kern w:val="0"/>
          <w:sz w:val="24"/>
        </w:rPr>
      </w:pPr>
      <w:r>
        <w:rPr>
          <w:rFonts w:hint="eastAsia" w:ascii="方正楷体简体" w:hAnsi="宋体" w:eastAsia="方正楷体简体"/>
          <w:snapToGrid w:val="0"/>
          <w:color w:val="000000"/>
          <w:kern w:val="0"/>
          <w:sz w:val="24"/>
        </w:rPr>
        <w:t>（三）支付标准。</w:t>
      </w:r>
    </w:p>
    <w:p>
      <w:pPr>
        <w:adjustRightInd w:val="0"/>
        <w:snapToGrid w:val="0"/>
        <w:spacing w:line="430" w:lineRule="exact"/>
        <w:ind w:firstLine="480" w:firstLineChars="200"/>
        <w:rPr>
          <w:rFonts w:hint="eastAsia" w:ascii="宋体" w:hAnsi="宋体"/>
          <w:snapToGrid w:val="0"/>
          <w:color w:val="000000"/>
          <w:kern w:val="0"/>
          <w:sz w:val="24"/>
        </w:rPr>
      </w:pPr>
      <w:r>
        <w:rPr>
          <w:rFonts w:hint="eastAsia" w:ascii="宋体" w:hAnsi="宋体"/>
          <w:snapToGrid w:val="0"/>
          <w:color w:val="000000"/>
          <w:kern w:val="0"/>
          <w:sz w:val="24"/>
        </w:rPr>
        <w:t>支付费用包括患者每次住院期间发生的医疗费用。对住院患者采取限额支付标准，限额标准内费用的70%（三级医院）或75%（二级医院）由新农合基金支付。</w:t>
      </w:r>
    </w:p>
    <w:p>
      <w:pPr>
        <w:pStyle w:val="5"/>
        <w:spacing w:line="430" w:lineRule="exact"/>
        <w:ind w:left="1424" w:leftChars="678" w:firstLine="598" w:firstLineChars="249"/>
        <w:jc w:val="left"/>
        <w:rPr>
          <w:rFonts w:hint="eastAsia" w:ascii="宋体" w:hAnsi="宋体"/>
          <w:sz w:val="24"/>
        </w:rPr>
      </w:pPr>
      <w:r>
        <w:rPr>
          <w:rFonts w:hint="eastAsia" w:ascii="宋体" w:hAnsi="宋体"/>
          <w:sz w:val="24"/>
        </w:rPr>
        <w:t>表16  脑梗死住院治疗费用的限额支付标准</w:t>
      </w:r>
    </w:p>
    <w:tbl>
      <w:tblPr>
        <w:tblStyle w:val="4"/>
        <w:tblW w:w="7484" w:type="dxa"/>
        <w:jc w:val="center"/>
        <w:tblInd w:w="0" w:type="dxa"/>
        <w:tblLayout w:type="fixed"/>
        <w:tblCellMar>
          <w:top w:w="0" w:type="dxa"/>
          <w:left w:w="28" w:type="dxa"/>
          <w:bottom w:w="0" w:type="dxa"/>
          <w:right w:w="28" w:type="dxa"/>
        </w:tblCellMar>
      </w:tblPr>
      <w:tblGrid>
        <w:gridCol w:w="1336"/>
        <w:gridCol w:w="1336"/>
        <w:gridCol w:w="1203"/>
        <w:gridCol w:w="1203"/>
        <w:gridCol w:w="1203"/>
        <w:gridCol w:w="1203"/>
      </w:tblGrid>
      <w:tr>
        <w:tblPrEx>
          <w:tblLayout w:type="fixed"/>
          <w:tblCellMar>
            <w:top w:w="0" w:type="dxa"/>
            <w:left w:w="28" w:type="dxa"/>
            <w:bottom w:w="0" w:type="dxa"/>
            <w:right w:w="28" w:type="dxa"/>
          </w:tblCellMar>
        </w:tblPrEx>
        <w:trPr>
          <w:trHeight w:val="450" w:hRule="atLeast"/>
          <w:jc w:val="center"/>
        </w:trPr>
        <w:tc>
          <w:tcPr>
            <w:tcW w:w="2672" w:type="dxa"/>
            <w:gridSpan w:val="2"/>
            <w:tcBorders>
              <w:top w:val="single" w:color="auto" w:sz="4" w:space="0"/>
              <w:left w:val="nil"/>
              <w:bottom w:val="single" w:color="auto" w:sz="4" w:space="0"/>
              <w:right w:val="nil"/>
            </w:tcBorders>
            <w:vAlign w:val="center"/>
          </w:tcPr>
          <w:p>
            <w:pPr>
              <w:widowControl/>
              <w:spacing w:line="410" w:lineRule="exact"/>
              <w:rPr>
                <w:rFonts w:ascii="宋体" w:hAnsi="宋体" w:cs="宋体"/>
                <w:b/>
                <w:bCs/>
                <w:kern w:val="0"/>
                <w:szCs w:val="21"/>
              </w:rPr>
            </w:pPr>
            <w:r>
              <w:rPr>
                <w:rFonts w:hint="eastAsia" w:ascii="宋体" w:hAnsi="宋体" w:cs="宋体"/>
                <w:b/>
                <w:bCs/>
                <w:kern w:val="0"/>
                <w:szCs w:val="21"/>
              </w:rPr>
              <w:t>省级定点救治医院（万元）</w:t>
            </w:r>
          </w:p>
        </w:tc>
        <w:tc>
          <w:tcPr>
            <w:tcW w:w="2406" w:type="dxa"/>
            <w:gridSpan w:val="2"/>
            <w:tcBorders>
              <w:top w:val="single" w:color="auto" w:sz="4" w:space="0"/>
              <w:left w:val="nil"/>
              <w:bottom w:val="single" w:color="auto" w:sz="4" w:space="0"/>
              <w:right w:val="nil"/>
            </w:tcBorders>
            <w:vAlign w:val="center"/>
          </w:tcPr>
          <w:p>
            <w:pPr>
              <w:widowControl/>
              <w:spacing w:line="410" w:lineRule="exact"/>
              <w:jc w:val="center"/>
              <w:rPr>
                <w:rFonts w:ascii="宋体" w:hAnsi="宋体" w:cs="宋体"/>
                <w:b/>
                <w:bCs/>
                <w:kern w:val="0"/>
                <w:szCs w:val="21"/>
              </w:rPr>
            </w:pPr>
            <w:r>
              <w:rPr>
                <w:rFonts w:hint="eastAsia" w:ascii="宋体" w:hAnsi="宋体" w:cs="宋体"/>
                <w:b/>
                <w:bCs/>
                <w:kern w:val="0"/>
                <w:szCs w:val="21"/>
              </w:rPr>
              <w:t>三级医院（万元）</w:t>
            </w:r>
          </w:p>
        </w:tc>
        <w:tc>
          <w:tcPr>
            <w:tcW w:w="2406" w:type="dxa"/>
            <w:gridSpan w:val="2"/>
            <w:tcBorders>
              <w:top w:val="single" w:color="auto" w:sz="4" w:space="0"/>
              <w:left w:val="nil"/>
              <w:bottom w:val="single" w:color="auto" w:sz="4" w:space="0"/>
              <w:right w:val="nil"/>
            </w:tcBorders>
            <w:vAlign w:val="center"/>
          </w:tcPr>
          <w:p>
            <w:pPr>
              <w:widowControl/>
              <w:spacing w:line="410" w:lineRule="exact"/>
              <w:jc w:val="center"/>
              <w:rPr>
                <w:rFonts w:ascii="宋体" w:hAnsi="宋体" w:cs="宋体"/>
                <w:b/>
                <w:bCs/>
                <w:kern w:val="0"/>
                <w:szCs w:val="21"/>
              </w:rPr>
            </w:pPr>
            <w:r>
              <w:rPr>
                <w:rFonts w:hint="eastAsia" w:ascii="宋体" w:hAnsi="宋体" w:cs="宋体"/>
                <w:b/>
                <w:bCs/>
                <w:kern w:val="0"/>
                <w:szCs w:val="21"/>
              </w:rPr>
              <w:t xml:space="preserve"> 二级医院（万元）</w:t>
            </w:r>
          </w:p>
        </w:tc>
      </w:tr>
      <w:tr>
        <w:tblPrEx>
          <w:tblLayout w:type="fixed"/>
          <w:tblCellMar>
            <w:top w:w="0" w:type="dxa"/>
            <w:left w:w="28" w:type="dxa"/>
            <w:bottom w:w="0" w:type="dxa"/>
            <w:right w:w="28" w:type="dxa"/>
          </w:tblCellMar>
        </w:tblPrEx>
        <w:trPr>
          <w:trHeight w:val="451" w:hRule="atLeast"/>
          <w:jc w:val="center"/>
        </w:trPr>
        <w:tc>
          <w:tcPr>
            <w:tcW w:w="1336" w:type="dxa"/>
            <w:tcBorders>
              <w:top w:val="nil"/>
              <w:left w:val="nil"/>
              <w:bottom w:val="nil"/>
              <w:right w:val="nil"/>
            </w:tcBorders>
            <w:vAlign w:val="center"/>
          </w:tcPr>
          <w:p>
            <w:pPr>
              <w:widowControl/>
              <w:spacing w:line="410" w:lineRule="exact"/>
              <w:jc w:val="center"/>
              <w:rPr>
                <w:rFonts w:ascii="宋体" w:hAnsi="宋体" w:cs="宋体"/>
                <w:b/>
                <w:bCs/>
                <w:kern w:val="0"/>
                <w:szCs w:val="21"/>
              </w:rPr>
            </w:pPr>
            <w:r>
              <w:rPr>
                <w:rFonts w:hint="eastAsia" w:ascii="宋体" w:hAnsi="宋体" w:cs="宋体"/>
                <w:b/>
                <w:bCs/>
                <w:kern w:val="0"/>
                <w:szCs w:val="21"/>
              </w:rPr>
              <w:t>支付标准</w:t>
            </w:r>
          </w:p>
        </w:tc>
        <w:tc>
          <w:tcPr>
            <w:tcW w:w="1336" w:type="dxa"/>
            <w:tcBorders>
              <w:top w:val="nil"/>
              <w:left w:val="nil"/>
              <w:bottom w:val="nil"/>
              <w:right w:val="nil"/>
            </w:tcBorders>
            <w:vAlign w:val="center"/>
          </w:tcPr>
          <w:p>
            <w:pPr>
              <w:widowControl/>
              <w:spacing w:line="410" w:lineRule="exact"/>
              <w:jc w:val="center"/>
              <w:rPr>
                <w:rFonts w:ascii="宋体" w:hAnsi="宋体" w:cs="宋体"/>
                <w:b/>
                <w:bCs/>
                <w:kern w:val="0"/>
                <w:szCs w:val="21"/>
              </w:rPr>
            </w:pPr>
            <w:r>
              <w:rPr>
                <w:rFonts w:hint="eastAsia" w:ascii="宋体" w:hAnsi="宋体" w:cs="宋体"/>
                <w:b/>
                <w:bCs/>
                <w:kern w:val="0"/>
                <w:szCs w:val="21"/>
              </w:rPr>
              <w:t>新农合支付</w:t>
            </w:r>
          </w:p>
        </w:tc>
        <w:tc>
          <w:tcPr>
            <w:tcW w:w="1203" w:type="dxa"/>
            <w:tcBorders>
              <w:top w:val="nil"/>
              <w:left w:val="nil"/>
              <w:bottom w:val="nil"/>
              <w:right w:val="nil"/>
            </w:tcBorders>
            <w:vAlign w:val="center"/>
          </w:tcPr>
          <w:p>
            <w:pPr>
              <w:widowControl/>
              <w:spacing w:line="410" w:lineRule="exact"/>
              <w:jc w:val="center"/>
              <w:rPr>
                <w:rFonts w:ascii="宋体" w:hAnsi="宋体" w:cs="宋体"/>
                <w:b/>
                <w:bCs/>
                <w:kern w:val="0"/>
                <w:szCs w:val="21"/>
              </w:rPr>
            </w:pPr>
            <w:r>
              <w:rPr>
                <w:rFonts w:hint="eastAsia" w:ascii="宋体" w:hAnsi="宋体" w:cs="宋体"/>
                <w:b/>
                <w:bCs/>
                <w:kern w:val="0"/>
                <w:szCs w:val="21"/>
              </w:rPr>
              <w:t>支付标准</w:t>
            </w:r>
          </w:p>
        </w:tc>
        <w:tc>
          <w:tcPr>
            <w:tcW w:w="1203" w:type="dxa"/>
            <w:tcBorders>
              <w:top w:val="nil"/>
              <w:left w:val="nil"/>
              <w:bottom w:val="nil"/>
              <w:right w:val="nil"/>
            </w:tcBorders>
            <w:vAlign w:val="center"/>
          </w:tcPr>
          <w:p>
            <w:pPr>
              <w:widowControl/>
              <w:spacing w:line="410" w:lineRule="exact"/>
              <w:jc w:val="center"/>
              <w:rPr>
                <w:rFonts w:ascii="宋体" w:hAnsi="宋体" w:cs="宋体"/>
                <w:b/>
                <w:bCs/>
                <w:kern w:val="0"/>
                <w:szCs w:val="21"/>
              </w:rPr>
            </w:pPr>
            <w:r>
              <w:rPr>
                <w:rFonts w:hint="eastAsia" w:ascii="宋体" w:hAnsi="宋体" w:cs="宋体"/>
                <w:b/>
                <w:bCs/>
                <w:kern w:val="0"/>
                <w:szCs w:val="21"/>
              </w:rPr>
              <w:t>新农合支付</w:t>
            </w:r>
          </w:p>
        </w:tc>
        <w:tc>
          <w:tcPr>
            <w:tcW w:w="1203" w:type="dxa"/>
            <w:tcBorders>
              <w:top w:val="nil"/>
              <w:left w:val="nil"/>
              <w:bottom w:val="nil"/>
              <w:right w:val="nil"/>
            </w:tcBorders>
            <w:vAlign w:val="center"/>
          </w:tcPr>
          <w:p>
            <w:pPr>
              <w:widowControl/>
              <w:spacing w:line="410" w:lineRule="exact"/>
              <w:jc w:val="center"/>
              <w:rPr>
                <w:rFonts w:ascii="宋体" w:hAnsi="宋体" w:cs="宋体"/>
                <w:b/>
                <w:bCs/>
                <w:kern w:val="0"/>
                <w:szCs w:val="21"/>
              </w:rPr>
            </w:pPr>
            <w:r>
              <w:rPr>
                <w:rFonts w:hint="eastAsia" w:ascii="宋体" w:hAnsi="宋体" w:cs="宋体"/>
                <w:b/>
                <w:bCs/>
                <w:kern w:val="0"/>
                <w:szCs w:val="21"/>
              </w:rPr>
              <w:t>支付标准</w:t>
            </w:r>
          </w:p>
        </w:tc>
        <w:tc>
          <w:tcPr>
            <w:tcW w:w="1203" w:type="dxa"/>
            <w:tcBorders>
              <w:top w:val="nil"/>
              <w:left w:val="nil"/>
              <w:bottom w:val="nil"/>
              <w:right w:val="nil"/>
            </w:tcBorders>
            <w:vAlign w:val="center"/>
          </w:tcPr>
          <w:p>
            <w:pPr>
              <w:widowControl/>
              <w:spacing w:line="410" w:lineRule="exact"/>
              <w:jc w:val="center"/>
              <w:rPr>
                <w:rFonts w:ascii="宋体" w:hAnsi="宋体" w:cs="宋体"/>
                <w:b/>
                <w:bCs/>
                <w:kern w:val="0"/>
                <w:szCs w:val="21"/>
              </w:rPr>
            </w:pPr>
            <w:r>
              <w:rPr>
                <w:rFonts w:hint="eastAsia" w:ascii="宋体" w:hAnsi="宋体" w:cs="宋体"/>
                <w:b/>
                <w:bCs/>
                <w:kern w:val="0"/>
                <w:szCs w:val="21"/>
              </w:rPr>
              <w:t>新农合支付</w:t>
            </w:r>
          </w:p>
        </w:tc>
      </w:tr>
      <w:tr>
        <w:tblPrEx>
          <w:tblLayout w:type="fixed"/>
          <w:tblCellMar>
            <w:top w:w="0" w:type="dxa"/>
            <w:left w:w="28" w:type="dxa"/>
            <w:bottom w:w="0" w:type="dxa"/>
            <w:right w:w="28" w:type="dxa"/>
          </w:tblCellMar>
        </w:tblPrEx>
        <w:trPr>
          <w:trHeight w:val="451" w:hRule="atLeast"/>
          <w:jc w:val="center"/>
        </w:trPr>
        <w:tc>
          <w:tcPr>
            <w:tcW w:w="1336" w:type="dxa"/>
            <w:tcBorders>
              <w:top w:val="nil"/>
              <w:left w:val="nil"/>
              <w:bottom w:val="single" w:color="auto" w:sz="4" w:space="0"/>
              <w:right w:val="nil"/>
            </w:tcBorders>
            <w:vAlign w:val="center"/>
          </w:tcPr>
          <w:p>
            <w:pPr>
              <w:spacing w:line="410" w:lineRule="exact"/>
              <w:jc w:val="center"/>
              <w:rPr>
                <w:rFonts w:ascii="宋体" w:hAnsi="宋体"/>
                <w:szCs w:val="21"/>
              </w:rPr>
            </w:pPr>
            <w:r>
              <w:rPr>
                <w:rFonts w:hint="eastAsia" w:ascii="宋体" w:hAnsi="宋体"/>
                <w:szCs w:val="21"/>
              </w:rPr>
              <w:t>1.26</w:t>
            </w:r>
          </w:p>
        </w:tc>
        <w:tc>
          <w:tcPr>
            <w:tcW w:w="1336" w:type="dxa"/>
            <w:tcBorders>
              <w:top w:val="nil"/>
              <w:left w:val="nil"/>
              <w:bottom w:val="single" w:color="auto" w:sz="4" w:space="0"/>
              <w:right w:val="nil"/>
            </w:tcBorders>
            <w:vAlign w:val="center"/>
          </w:tcPr>
          <w:p>
            <w:pPr>
              <w:spacing w:line="410" w:lineRule="exact"/>
              <w:jc w:val="center"/>
              <w:rPr>
                <w:rFonts w:ascii="宋体" w:hAnsi="宋体"/>
                <w:szCs w:val="21"/>
              </w:rPr>
            </w:pPr>
            <w:r>
              <w:rPr>
                <w:rFonts w:hint="eastAsia" w:ascii="宋体" w:hAnsi="宋体"/>
                <w:szCs w:val="21"/>
              </w:rPr>
              <w:t>0.88</w:t>
            </w:r>
          </w:p>
        </w:tc>
        <w:tc>
          <w:tcPr>
            <w:tcW w:w="1203" w:type="dxa"/>
            <w:tcBorders>
              <w:top w:val="nil"/>
              <w:left w:val="nil"/>
              <w:bottom w:val="single" w:color="auto" w:sz="4" w:space="0"/>
              <w:right w:val="nil"/>
            </w:tcBorders>
            <w:vAlign w:val="center"/>
          </w:tcPr>
          <w:p>
            <w:pPr>
              <w:spacing w:line="410" w:lineRule="exact"/>
              <w:jc w:val="center"/>
              <w:rPr>
                <w:rFonts w:ascii="宋体" w:hAnsi="宋体"/>
                <w:szCs w:val="21"/>
              </w:rPr>
            </w:pPr>
            <w:r>
              <w:rPr>
                <w:rFonts w:hint="eastAsia" w:ascii="宋体" w:hAnsi="宋体"/>
                <w:szCs w:val="21"/>
              </w:rPr>
              <w:t>1.2</w:t>
            </w:r>
          </w:p>
        </w:tc>
        <w:tc>
          <w:tcPr>
            <w:tcW w:w="1203" w:type="dxa"/>
            <w:tcBorders>
              <w:top w:val="nil"/>
              <w:left w:val="nil"/>
              <w:bottom w:val="single" w:color="auto" w:sz="4" w:space="0"/>
              <w:right w:val="nil"/>
            </w:tcBorders>
            <w:vAlign w:val="center"/>
          </w:tcPr>
          <w:p>
            <w:pPr>
              <w:spacing w:line="410" w:lineRule="exact"/>
              <w:jc w:val="center"/>
              <w:rPr>
                <w:rFonts w:ascii="宋体" w:hAnsi="宋体"/>
                <w:szCs w:val="21"/>
              </w:rPr>
            </w:pPr>
            <w:r>
              <w:rPr>
                <w:rFonts w:hint="eastAsia" w:ascii="宋体" w:hAnsi="宋体"/>
                <w:szCs w:val="21"/>
              </w:rPr>
              <w:t>0.84</w:t>
            </w:r>
          </w:p>
        </w:tc>
        <w:tc>
          <w:tcPr>
            <w:tcW w:w="1203" w:type="dxa"/>
            <w:tcBorders>
              <w:top w:val="nil"/>
              <w:left w:val="nil"/>
              <w:bottom w:val="single" w:color="auto" w:sz="4" w:space="0"/>
              <w:right w:val="nil"/>
            </w:tcBorders>
            <w:vAlign w:val="center"/>
          </w:tcPr>
          <w:p>
            <w:pPr>
              <w:spacing w:line="410" w:lineRule="exact"/>
              <w:jc w:val="center"/>
              <w:rPr>
                <w:rFonts w:ascii="宋体" w:hAnsi="宋体"/>
                <w:szCs w:val="21"/>
              </w:rPr>
            </w:pPr>
            <w:r>
              <w:rPr>
                <w:rFonts w:hint="eastAsia" w:ascii="宋体" w:hAnsi="宋体"/>
                <w:szCs w:val="21"/>
              </w:rPr>
              <w:t>1.0</w:t>
            </w:r>
          </w:p>
        </w:tc>
        <w:tc>
          <w:tcPr>
            <w:tcW w:w="1203" w:type="dxa"/>
            <w:tcBorders>
              <w:top w:val="nil"/>
              <w:left w:val="nil"/>
              <w:bottom w:val="single" w:color="auto" w:sz="4" w:space="0"/>
              <w:right w:val="nil"/>
            </w:tcBorders>
            <w:vAlign w:val="center"/>
          </w:tcPr>
          <w:p>
            <w:pPr>
              <w:spacing w:line="410" w:lineRule="exact"/>
              <w:jc w:val="center"/>
              <w:rPr>
                <w:rFonts w:ascii="宋体" w:hAnsi="宋体"/>
                <w:szCs w:val="21"/>
              </w:rPr>
            </w:pPr>
            <w:r>
              <w:rPr>
                <w:rFonts w:hint="eastAsia" w:ascii="宋体" w:hAnsi="宋体"/>
                <w:szCs w:val="21"/>
              </w:rPr>
              <w:t>0.75</w:t>
            </w:r>
          </w:p>
        </w:tc>
      </w:tr>
    </w:tbl>
    <w:p>
      <w:pPr>
        <w:pStyle w:val="5"/>
        <w:adjustRightInd w:val="0"/>
        <w:snapToGrid w:val="0"/>
        <w:spacing w:line="430" w:lineRule="exact"/>
        <w:ind w:firstLine="480"/>
        <w:rPr>
          <w:rFonts w:hint="eastAsia" w:ascii="黑体" w:hAnsi="宋体" w:eastAsia="黑体"/>
          <w:snapToGrid w:val="0"/>
          <w:color w:val="000000"/>
          <w:kern w:val="0"/>
          <w:sz w:val="24"/>
        </w:rPr>
      </w:pPr>
      <w:r>
        <w:rPr>
          <w:rFonts w:hint="eastAsia" w:ascii="黑体" w:hAnsi="宋体" w:eastAsia="黑体"/>
          <w:snapToGrid w:val="0"/>
          <w:color w:val="000000"/>
          <w:kern w:val="0"/>
          <w:sz w:val="24"/>
        </w:rPr>
        <w:t>十七、急性心肌梗塞</w:t>
      </w:r>
    </w:p>
    <w:p>
      <w:pPr>
        <w:pStyle w:val="5"/>
        <w:adjustRightInd w:val="0"/>
        <w:snapToGrid w:val="0"/>
        <w:spacing w:line="430" w:lineRule="exact"/>
        <w:ind w:firstLine="480"/>
        <w:rPr>
          <w:rFonts w:hint="eastAsia" w:ascii="方正楷体简体" w:hAnsi="宋体" w:eastAsia="方正楷体简体"/>
          <w:snapToGrid w:val="0"/>
          <w:color w:val="000000"/>
          <w:kern w:val="0"/>
          <w:sz w:val="24"/>
        </w:rPr>
      </w:pPr>
      <w:r>
        <w:rPr>
          <w:rFonts w:hint="eastAsia" w:ascii="方正楷体简体" w:hAnsi="宋体" w:eastAsia="方正楷体简体"/>
          <w:snapToGrid w:val="0"/>
          <w:color w:val="000000"/>
          <w:kern w:val="0"/>
          <w:sz w:val="24"/>
        </w:rPr>
        <w:t>（一）适用对象。</w:t>
      </w:r>
    </w:p>
    <w:p>
      <w:pPr>
        <w:adjustRightInd w:val="0"/>
        <w:snapToGrid w:val="0"/>
        <w:spacing w:line="430" w:lineRule="exact"/>
        <w:ind w:firstLine="480" w:firstLineChars="200"/>
        <w:rPr>
          <w:rFonts w:ascii="宋体" w:hAnsi="宋体"/>
          <w:snapToGrid w:val="0"/>
          <w:color w:val="000000"/>
          <w:kern w:val="0"/>
          <w:sz w:val="24"/>
        </w:rPr>
      </w:pPr>
      <w:r>
        <w:rPr>
          <w:rFonts w:hint="eastAsia" w:ascii="宋体" w:hAnsi="宋体"/>
          <w:bCs/>
          <w:snapToGrid w:val="0"/>
          <w:color w:val="000000"/>
          <w:kern w:val="0"/>
          <w:sz w:val="24"/>
        </w:rPr>
        <w:t>以冠心病急性ST段抬高心肌梗死（STEMI）（ICD10：I21.0- I21.3）</w:t>
      </w:r>
      <w:r>
        <w:rPr>
          <w:rFonts w:hint="eastAsia" w:ascii="宋体" w:hAnsi="宋体"/>
          <w:snapToGrid w:val="0"/>
          <w:color w:val="000000"/>
          <w:kern w:val="0"/>
          <w:sz w:val="24"/>
        </w:rPr>
        <w:t>为第一诊断</w:t>
      </w:r>
      <w:r>
        <w:rPr>
          <w:rFonts w:hint="eastAsia" w:ascii="宋体" w:hAnsi="宋体"/>
          <w:bCs/>
          <w:snapToGrid w:val="0"/>
          <w:color w:val="000000"/>
          <w:kern w:val="0"/>
          <w:sz w:val="24"/>
        </w:rPr>
        <w:t>的患者，</w:t>
      </w:r>
      <w:r>
        <w:rPr>
          <w:rFonts w:hint="eastAsia" w:ascii="宋体" w:hAnsi="宋体"/>
          <w:snapToGrid w:val="0"/>
          <w:color w:val="000000"/>
          <w:kern w:val="0"/>
          <w:sz w:val="24"/>
        </w:rPr>
        <w:t>在定点医疗机构住院期间实施基本治疗或溶栓治疗发生的费用，纳入新农合重大疾病按病种付费范围。冠状动脉造影术及冠状动脉内介入治疗的相关费用暂不纳入按病种付费支付方式，按各地新农合补偿政策执行。</w:t>
      </w:r>
    </w:p>
    <w:p>
      <w:pPr>
        <w:pStyle w:val="5"/>
        <w:adjustRightInd w:val="0"/>
        <w:snapToGrid w:val="0"/>
        <w:spacing w:line="430" w:lineRule="exact"/>
        <w:ind w:firstLine="480"/>
        <w:rPr>
          <w:rFonts w:hint="eastAsia" w:ascii="方正楷体简体" w:hAnsi="宋体" w:eastAsia="方正楷体简体"/>
          <w:snapToGrid w:val="0"/>
          <w:color w:val="000000"/>
          <w:kern w:val="0"/>
          <w:sz w:val="24"/>
        </w:rPr>
      </w:pPr>
      <w:r>
        <w:rPr>
          <w:rFonts w:hint="eastAsia" w:ascii="方正楷体简体" w:hAnsi="宋体" w:eastAsia="方正楷体简体"/>
          <w:snapToGrid w:val="0"/>
          <w:color w:val="000000"/>
          <w:kern w:val="0"/>
          <w:sz w:val="24"/>
        </w:rPr>
        <w:t>（二）支付条件。</w:t>
      </w:r>
    </w:p>
    <w:p>
      <w:pPr>
        <w:adjustRightInd w:val="0"/>
        <w:snapToGrid w:val="0"/>
        <w:spacing w:line="430" w:lineRule="exact"/>
        <w:ind w:firstLine="480" w:firstLineChars="200"/>
        <w:rPr>
          <w:rFonts w:ascii="宋体" w:hAnsi="宋体"/>
          <w:snapToGrid w:val="0"/>
          <w:color w:val="000000"/>
          <w:kern w:val="0"/>
          <w:sz w:val="24"/>
        </w:rPr>
      </w:pPr>
      <w:r>
        <w:rPr>
          <w:rFonts w:hint="eastAsia" w:ascii="宋体" w:hAnsi="宋体"/>
          <w:snapToGrid w:val="0"/>
          <w:color w:val="000000"/>
          <w:kern w:val="0"/>
          <w:sz w:val="24"/>
        </w:rPr>
        <w:t>治疗过程需严格按照急性《ST段抬高心肌梗死临床路径（2009版）》执行，方可实行按病种付费。</w:t>
      </w:r>
    </w:p>
    <w:p>
      <w:pPr>
        <w:pStyle w:val="5"/>
        <w:adjustRightInd w:val="0"/>
        <w:snapToGrid w:val="0"/>
        <w:spacing w:line="430" w:lineRule="exact"/>
        <w:ind w:firstLine="480"/>
        <w:rPr>
          <w:rFonts w:hint="eastAsia" w:ascii="方正楷体简体" w:hAnsi="宋体" w:eastAsia="方正楷体简体"/>
          <w:snapToGrid w:val="0"/>
          <w:color w:val="000000"/>
          <w:kern w:val="0"/>
          <w:sz w:val="24"/>
        </w:rPr>
      </w:pPr>
      <w:r>
        <w:rPr>
          <w:rFonts w:hint="eastAsia" w:ascii="方正楷体简体" w:hAnsi="宋体" w:eastAsia="方正楷体简体"/>
          <w:snapToGrid w:val="0"/>
          <w:color w:val="000000"/>
          <w:kern w:val="0"/>
          <w:sz w:val="24"/>
        </w:rPr>
        <w:t>（三）支付标准。</w:t>
      </w:r>
    </w:p>
    <w:p>
      <w:pPr>
        <w:adjustRightInd w:val="0"/>
        <w:snapToGrid w:val="0"/>
        <w:spacing w:line="430" w:lineRule="exact"/>
        <w:ind w:firstLine="480" w:firstLineChars="200"/>
        <w:rPr>
          <w:rFonts w:hint="eastAsia" w:ascii="宋体" w:hAnsi="宋体"/>
          <w:sz w:val="24"/>
        </w:rPr>
      </w:pPr>
      <w:r>
        <w:rPr>
          <w:rFonts w:hint="eastAsia" w:ascii="宋体" w:hAnsi="宋体"/>
          <w:snapToGrid w:val="0"/>
          <w:color w:val="000000"/>
          <w:kern w:val="0"/>
          <w:sz w:val="24"/>
        </w:rPr>
        <w:t>支付的费用包括患者每次住院期间发生的费用。对住院患者采取限额支付标准，限额标准内费用的70%（三级医院）或75%（二级医院）由新农合基金支付。</w:t>
      </w:r>
    </w:p>
    <w:p>
      <w:pPr>
        <w:spacing w:line="430" w:lineRule="exact"/>
        <w:ind w:firstLine="480" w:firstLineChars="200"/>
        <w:jc w:val="center"/>
        <w:rPr>
          <w:rFonts w:hint="eastAsia" w:ascii="宋体" w:hAnsi="宋体"/>
          <w:sz w:val="24"/>
        </w:rPr>
      </w:pPr>
      <w:r>
        <w:rPr>
          <w:rFonts w:hint="eastAsia" w:ascii="宋体" w:hAnsi="宋体"/>
          <w:sz w:val="24"/>
        </w:rPr>
        <w:t>表17  急性心肌梗塞住院治疗费用的限额支付标准</w:t>
      </w:r>
    </w:p>
    <w:tbl>
      <w:tblPr>
        <w:tblStyle w:val="4"/>
        <w:tblW w:w="7484" w:type="dxa"/>
        <w:jc w:val="center"/>
        <w:tblInd w:w="0" w:type="dxa"/>
        <w:tblLayout w:type="fixed"/>
        <w:tblCellMar>
          <w:top w:w="0" w:type="dxa"/>
          <w:left w:w="28" w:type="dxa"/>
          <w:bottom w:w="0" w:type="dxa"/>
          <w:right w:w="28" w:type="dxa"/>
        </w:tblCellMar>
      </w:tblPr>
      <w:tblGrid>
        <w:gridCol w:w="1336"/>
        <w:gridCol w:w="1336"/>
        <w:gridCol w:w="1203"/>
        <w:gridCol w:w="1203"/>
        <w:gridCol w:w="1203"/>
        <w:gridCol w:w="1203"/>
      </w:tblGrid>
      <w:tr>
        <w:tblPrEx>
          <w:tblLayout w:type="fixed"/>
          <w:tblCellMar>
            <w:top w:w="0" w:type="dxa"/>
            <w:left w:w="28" w:type="dxa"/>
            <w:bottom w:w="0" w:type="dxa"/>
            <w:right w:w="28" w:type="dxa"/>
          </w:tblCellMar>
        </w:tblPrEx>
        <w:trPr>
          <w:trHeight w:val="450" w:hRule="atLeast"/>
          <w:jc w:val="center"/>
        </w:trPr>
        <w:tc>
          <w:tcPr>
            <w:tcW w:w="2672" w:type="dxa"/>
            <w:gridSpan w:val="2"/>
            <w:tcBorders>
              <w:top w:val="single" w:color="auto" w:sz="4" w:space="0"/>
              <w:left w:val="nil"/>
              <w:bottom w:val="single" w:color="auto" w:sz="4" w:space="0"/>
              <w:right w:val="nil"/>
            </w:tcBorders>
            <w:vAlign w:val="center"/>
          </w:tcPr>
          <w:p>
            <w:pPr>
              <w:widowControl/>
              <w:spacing w:line="410" w:lineRule="exact"/>
              <w:rPr>
                <w:rFonts w:ascii="宋体" w:hAnsi="宋体" w:cs="宋体"/>
                <w:b/>
                <w:bCs/>
                <w:kern w:val="0"/>
                <w:szCs w:val="21"/>
              </w:rPr>
            </w:pPr>
            <w:r>
              <w:rPr>
                <w:rFonts w:hint="eastAsia" w:ascii="宋体" w:hAnsi="宋体" w:cs="宋体"/>
                <w:b/>
                <w:bCs/>
                <w:kern w:val="0"/>
                <w:szCs w:val="21"/>
              </w:rPr>
              <w:t>省级定点救治医院（万元）</w:t>
            </w:r>
          </w:p>
        </w:tc>
        <w:tc>
          <w:tcPr>
            <w:tcW w:w="2406" w:type="dxa"/>
            <w:gridSpan w:val="2"/>
            <w:tcBorders>
              <w:top w:val="single" w:color="auto" w:sz="4" w:space="0"/>
              <w:left w:val="nil"/>
              <w:bottom w:val="single" w:color="auto" w:sz="4" w:space="0"/>
              <w:right w:val="nil"/>
            </w:tcBorders>
            <w:vAlign w:val="center"/>
          </w:tcPr>
          <w:p>
            <w:pPr>
              <w:widowControl/>
              <w:spacing w:line="410" w:lineRule="exact"/>
              <w:jc w:val="center"/>
              <w:rPr>
                <w:rFonts w:ascii="宋体" w:hAnsi="宋体" w:cs="宋体"/>
                <w:b/>
                <w:bCs/>
                <w:kern w:val="0"/>
                <w:szCs w:val="21"/>
              </w:rPr>
            </w:pPr>
            <w:r>
              <w:rPr>
                <w:rFonts w:hint="eastAsia" w:ascii="宋体" w:hAnsi="宋体" w:cs="宋体"/>
                <w:b/>
                <w:bCs/>
                <w:kern w:val="0"/>
                <w:szCs w:val="21"/>
              </w:rPr>
              <w:t>三级医院（万元）</w:t>
            </w:r>
          </w:p>
        </w:tc>
        <w:tc>
          <w:tcPr>
            <w:tcW w:w="2406" w:type="dxa"/>
            <w:gridSpan w:val="2"/>
            <w:tcBorders>
              <w:top w:val="single" w:color="auto" w:sz="4" w:space="0"/>
              <w:left w:val="nil"/>
              <w:bottom w:val="single" w:color="auto" w:sz="4" w:space="0"/>
              <w:right w:val="nil"/>
            </w:tcBorders>
            <w:vAlign w:val="center"/>
          </w:tcPr>
          <w:p>
            <w:pPr>
              <w:widowControl/>
              <w:spacing w:line="410" w:lineRule="exact"/>
              <w:jc w:val="center"/>
              <w:rPr>
                <w:rFonts w:ascii="宋体" w:hAnsi="宋体" w:cs="宋体"/>
                <w:b/>
                <w:bCs/>
                <w:kern w:val="0"/>
                <w:szCs w:val="21"/>
              </w:rPr>
            </w:pPr>
            <w:r>
              <w:rPr>
                <w:rFonts w:hint="eastAsia" w:ascii="宋体" w:hAnsi="宋体" w:cs="宋体"/>
                <w:b/>
                <w:bCs/>
                <w:kern w:val="0"/>
                <w:szCs w:val="21"/>
              </w:rPr>
              <w:t xml:space="preserve"> 二级医院（万元）</w:t>
            </w:r>
          </w:p>
        </w:tc>
      </w:tr>
      <w:tr>
        <w:tblPrEx>
          <w:tblLayout w:type="fixed"/>
          <w:tblCellMar>
            <w:top w:w="0" w:type="dxa"/>
            <w:left w:w="28" w:type="dxa"/>
            <w:bottom w:w="0" w:type="dxa"/>
            <w:right w:w="28" w:type="dxa"/>
          </w:tblCellMar>
        </w:tblPrEx>
        <w:trPr>
          <w:trHeight w:val="451" w:hRule="atLeast"/>
          <w:jc w:val="center"/>
        </w:trPr>
        <w:tc>
          <w:tcPr>
            <w:tcW w:w="1336" w:type="dxa"/>
            <w:tcBorders>
              <w:top w:val="nil"/>
              <w:left w:val="nil"/>
              <w:bottom w:val="nil"/>
              <w:right w:val="nil"/>
            </w:tcBorders>
            <w:vAlign w:val="center"/>
          </w:tcPr>
          <w:p>
            <w:pPr>
              <w:widowControl/>
              <w:spacing w:line="410" w:lineRule="exact"/>
              <w:jc w:val="center"/>
              <w:rPr>
                <w:rFonts w:ascii="宋体" w:hAnsi="宋体" w:cs="宋体"/>
                <w:b/>
                <w:bCs/>
                <w:kern w:val="0"/>
                <w:szCs w:val="21"/>
              </w:rPr>
            </w:pPr>
            <w:r>
              <w:rPr>
                <w:rFonts w:hint="eastAsia" w:ascii="宋体" w:hAnsi="宋体" w:cs="宋体"/>
                <w:b/>
                <w:bCs/>
                <w:kern w:val="0"/>
                <w:szCs w:val="21"/>
              </w:rPr>
              <w:t>支付标准</w:t>
            </w:r>
          </w:p>
        </w:tc>
        <w:tc>
          <w:tcPr>
            <w:tcW w:w="1336" w:type="dxa"/>
            <w:tcBorders>
              <w:top w:val="nil"/>
              <w:left w:val="nil"/>
              <w:bottom w:val="nil"/>
              <w:right w:val="nil"/>
            </w:tcBorders>
            <w:vAlign w:val="center"/>
          </w:tcPr>
          <w:p>
            <w:pPr>
              <w:widowControl/>
              <w:spacing w:line="410" w:lineRule="exact"/>
              <w:jc w:val="center"/>
              <w:rPr>
                <w:rFonts w:ascii="宋体" w:hAnsi="宋体" w:cs="宋体"/>
                <w:b/>
                <w:bCs/>
                <w:kern w:val="0"/>
                <w:szCs w:val="21"/>
              </w:rPr>
            </w:pPr>
            <w:r>
              <w:rPr>
                <w:rFonts w:hint="eastAsia" w:ascii="宋体" w:hAnsi="宋体" w:cs="宋体"/>
                <w:b/>
                <w:bCs/>
                <w:kern w:val="0"/>
                <w:szCs w:val="21"/>
              </w:rPr>
              <w:t>新农合支付</w:t>
            </w:r>
          </w:p>
        </w:tc>
        <w:tc>
          <w:tcPr>
            <w:tcW w:w="1203" w:type="dxa"/>
            <w:tcBorders>
              <w:top w:val="nil"/>
              <w:left w:val="nil"/>
              <w:bottom w:val="nil"/>
              <w:right w:val="nil"/>
            </w:tcBorders>
            <w:vAlign w:val="center"/>
          </w:tcPr>
          <w:p>
            <w:pPr>
              <w:widowControl/>
              <w:spacing w:line="410" w:lineRule="exact"/>
              <w:jc w:val="center"/>
              <w:rPr>
                <w:rFonts w:ascii="宋体" w:hAnsi="宋体" w:cs="宋体"/>
                <w:b/>
                <w:bCs/>
                <w:kern w:val="0"/>
                <w:szCs w:val="21"/>
              </w:rPr>
            </w:pPr>
            <w:r>
              <w:rPr>
                <w:rFonts w:hint="eastAsia" w:ascii="宋体" w:hAnsi="宋体" w:cs="宋体"/>
                <w:b/>
                <w:bCs/>
                <w:kern w:val="0"/>
                <w:szCs w:val="21"/>
              </w:rPr>
              <w:t>支付标准</w:t>
            </w:r>
          </w:p>
        </w:tc>
        <w:tc>
          <w:tcPr>
            <w:tcW w:w="1203" w:type="dxa"/>
            <w:tcBorders>
              <w:top w:val="nil"/>
              <w:left w:val="nil"/>
              <w:bottom w:val="nil"/>
              <w:right w:val="nil"/>
            </w:tcBorders>
            <w:vAlign w:val="center"/>
          </w:tcPr>
          <w:p>
            <w:pPr>
              <w:widowControl/>
              <w:spacing w:line="410" w:lineRule="exact"/>
              <w:jc w:val="center"/>
              <w:rPr>
                <w:rFonts w:ascii="宋体" w:hAnsi="宋体" w:cs="宋体"/>
                <w:b/>
                <w:bCs/>
                <w:kern w:val="0"/>
                <w:szCs w:val="21"/>
              </w:rPr>
            </w:pPr>
            <w:r>
              <w:rPr>
                <w:rFonts w:hint="eastAsia" w:ascii="宋体" w:hAnsi="宋体" w:cs="宋体"/>
                <w:b/>
                <w:bCs/>
                <w:kern w:val="0"/>
                <w:szCs w:val="21"/>
              </w:rPr>
              <w:t>新农合支付</w:t>
            </w:r>
          </w:p>
        </w:tc>
        <w:tc>
          <w:tcPr>
            <w:tcW w:w="1203" w:type="dxa"/>
            <w:tcBorders>
              <w:top w:val="nil"/>
              <w:left w:val="nil"/>
              <w:bottom w:val="nil"/>
              <w:right w:val="nil"/>
            </w:tcBorders>
            <w:vAlign w:val="center"/>
          </w:tcPr>
          <w:p>
            <w:pPr>
              <w:widowControl/>
              <w:spacing w:line="410" w:lineRule="exact"/>
              <w:jc w:val="center"/>
              <w:rPr>
                <w:rFonts w:ascii="宋体" w:hAnsi="宋体" w:cs="宋体"/>
                <w:b/>
                <w:bCs/>
                <w:kern w:val="0"/>
                <w:szCs w:val="21"/>
              </w:rPr>
            </w:pPr>
            <w:r>
              <w:rPr>
                <w:rFonts w:hint="eastAsia" w:ascii="宋体" w:hAnsi="宋体" w:cs="宋体"/>
                <w:b/>
                <w:bCs/>
                <w:kern w:val="0"/>
                <w:szCs w:val="21"/>
              </w:rPr>
              <w:t>支付标准</w:t>
            </w:r>
          </w:p>
        </w:tc>
        <w:tc>
          <w:tcPr>
            <w:tcW w:w="1203" w:type="dxa"/>
            <w:tcBorders>
              <w:top w:val="nil"/>
              <w:left w:val="nil"/>
              <w:bottom w:val="nil"/>
              <w:right w:val="nil"/>
            </w:tcBorders>
            <w:vAlign w:val="center"/>
          </w:tcPr>
          <w:p>
            <w:pPr>
              <w:widowControl/>
              <w:spacing w:line="410" w:lineRule="exact"/>
              <w:jc w:val="center"/>
              <w:rPr>
                <w:rFonts w:ascii="宋体" w:hAnsi="宋体" w:cs="宋体"/>
                <w:b/>
                <w:bCs/>
                <w:kern w:val="0"/>
                <w:szCs w:val="21"/>
              </w:rPr>
            </w:pPr>
            <w:r>
              <w:rPr>
                <w:rFonts w:hint="eastAsia" w:ascii="宋体" w:hAnsi="宋体" w:cs="宋体"/>
                <w:b/>
                <w:bCs/>
                <w:kern w:val="0"/>
                <w:szCs w:val="21"/>
              </w:rPr>
              <w:t>新农合支付</w:t>
            </w:r>
          </w:p>
        </w:tc>
      </w:tr>
      <w:tr>
        <w:tblPrEx>
          <w:tblLayout w:type="fixed"/>
          <w:tblCellMar>
            <w:top w:w="0" w:type="dxa"/>
            <w:left w:w="28" w:type="dxa"/>
            <w:bottom w:w="0" w:type="dxa"/>
            <w:right w:w="28" w:type="dxa"/>
          </w:tblCellMar>
        </w:tblPrEx>
        <w:trPr>
          <w:trHeight w:val="451" w:hRule="atLeast"/>
          <w:jc w:val="center"/>
        </w:trPr>
        <w:tc>
          <w:tcPr>
            <w:tcW w:w="1336" w:type="dxa"/>
            <w:tcBorders>
              <w:top w:val="nil"/>
              <w:left w:val="nil"/>
              <w:bottom w:val="single" w:color="auto" w:sz="4" w:space="0"/>
              <w:right w:val="nil"/>
            </w:tcBorders>
            <w:vAlign w:val="center"/>
          </w:tcPr>
          <w:p>
            <w:pPr>
              <w:spacing w:line="410" w:lineRule="exact"/>
              <w:jc w:val="center"/>
              <w:rPr>
                <w:rFonts w:ascii="宋体" w:hAnsi="宋体"/>
                <w:szCs w:val="21"/>
              </w:rPr>
            </w:pPr>
            <w:r>
              <w:rPr>
                <w:rFonts w:hint="eastAsia" w:ascii="宋体" w:hAnsi="宋体"/>
                <w:szCs w:val="21"/>
              </w:rPr>
              <w:t>1.26</w:t>
            </w:r>
          </w:p>
        </w:tc>
        <w:tc>
          <w:tcPr>
            <w:tcW w:w="1336" w:type="dxa"/>
            <w:tcBorders>
              <w:top w:val="nil"/>
              <w:left w:val="nil"/>
              <w:bottom w:val="single" w:color="auto" w:sz="4" w:space="0"/>
              <w:right w:val="nil"/>
            </w:tcBorders>
            <w:vAlign w:val="center"/>
          </w:tcPr>
          <w:p>
            <w:pPr>
              <w:spacing w:line="410" w:lineRule="exact"/>
              <w:jc w:val="center"/>
              <w:rPr>
                <w:rFonts w:ascii="宋体" w:hAnsi="宋体"/>
                <w:szCs w:val="21"/>
              </w:rPr>
            </w:pPr>
            <w:r>
              <w:rPr>
                <w:rFonts w:hint="eastAsia" w:ascii="宋体" w:hAnsi="宋体"/>
                <w:szCs w:val="21"/>
              </w:rPr>
              <w:t>0.88</w:t>
            </w:r>
          </w:p>
        </w:tc>
        <w:tc>
          <w:tcPr>
            <w:tcW w:w="1203" w:type="dxa"/>
            <w:tcBorders>
              <w:top w:val="nil"/>
              <w:left w:val="nil"/>
              <w:bottom w:val="single" w:color="auto" w:sz="4" w:space="0"/>
              <w:right w:val="nil"/>
            </w:tcBorders>
            <w:vAlign w:val="center"/>
          </w:tcPr>
          <w:p>
            <w:pPr>
              <w:spacing w:line="410" w:lineRule="exact"/>
              <w:jc w:val="center"/>
              <w:rPr>
                <w:rFonts w:ascii="宋体" w:hAnsi="宋体"/>
                <w:szCs w:val="21"/>
              </w:rPr>
            </w:pPr>
            <w:r>
              <w:rPr>
                <w:rFonts w:hint="eastAsia" w:ascii="宋体" w:hAnsi="宋体"/>
                <w:szCs w:val="21"/>
              </w:rPr>
              <w:t>1.2</w:t>
            </w:r>
          </w:p>
        </w:tc>
        <w:tc>
          <w:tcPr>
            <w:tcW w:w="1203" w:type="dxa"/>
            <w:tcBorders>
              <w:top w:val="nil"/>
              <w:left w:val="nil"/>
              <w:bottom w:val="single" w:color="auto" w:sz="4" w:space="0"/>
              <w:right w:val="nil"/>
            </w:tcBorders>
            <w:vAlign w:val="center"/>
          </w:tcPr>
          <w:p>
            <w:pPr>
              <w:spacing w:line="410" w:lineRule="exact"/>
              <w:jc w:val="center"/>
              <w:rPr>
                <w:rFonts w:ascii="宋体" w:hAnsi="宋体"/>
                <w:szCs w:val="21"/>
              </w:rPr>
            </w:pPr>
            <w:r>
              <w:rPr>
                <w:rFonts w:hint="eastAsia" w:ascii="宋体" w:hAnsi="宋体"/>
                <w:szCs w:val="21"/>
              </w:rPr>
              <w:t>0.84</w:t>
            </w:r>
          </w:p>
        </w:tc>
        <w:tc>
          <w:tcPr>
            <w:tcW w:w="1203" w:type="dxa"/>
            <w:tcBorders>
              <w:top w:val="nil"/>
              <w:left w:val="nil"/>
              <w:bottom w:val="single" w:color="auto" w:sz="4" w:space="0"/>
              <w:right w:val="nil"/>
            </w:tcBorders>
            <w:vAlign w:val="center"/>
          </w:tcPr>
          <w:p>
            <w:pPr>
              <w:spacing w:line="410" w:lineRule="exact"/>
              <w:jc w:val="center"/>
              <w:rPr>
                <w:rFonts w:ascii="宋体" w:hAnsi="宋体"/>
                <w:szCs w:val="21"/>
              </w:rPr>
            </w:pPr>
            <w:r>
              <w:rPr>
                <w:rFonts w:hint="eastAsia" w:ascii="宋体" w:hAnsi="宋体"/>
                <w:szCs w:val="21"/>
              </w:rPr>
              <w:t>0.7</w:t>
            </w:r>
          </w:p>
        </w:tc>
        <w:tc>
          <w:tcPr>
            <w:tcW w:w="1203" w:type="dxa"/>
            <w:tcBorders>
              <w:top w:val="nil"/>
              <w:left w:val="nil"/>
              <w:bottom w:val="single" w:color="auto" w:sz="4" w:space="0"/>
              <w:right w:val="nil"/>
            </w:tcBorders>
            <w:vAlign w:val="center"/>
          </w:tcPr>
          <w:p>
            <w:pPr>
              <w:spacing w:line="410" w:lineRule="exact"/>
              <w:jc w:val="center"/>
              <w:rPr>
                <w:rFonts w:ascii="宋体" w:hAnsi="宋体"/>
                <w:szCs w:val="21"/>
              </w:rPr>
            </w:pPr>
            <w:r>
              <w:rPr>
                <w:rFonts w:hint="eastAsia" w:ascii="宋体" w:hAnsi="宋体"/>
                <w:szCs w:val="21"/>
              </w:rPr>
              <w:t>0.53</w:t>
            </w:r>
          </w:p>
        </w:tc>
      </w:tr>
    </w:tbl>
    <w:p>
      <w:pPr>
        <w:pStyle w:val="5"/>
        <w:adjustRightInd w:val="0"/>
        <w:snapToGrid w:val="0"/>
        <w:spacing w:line="430" w:lineRule="exact"/>
        <w:ind w:firstLine="480"/>
        <w:rPr>
          <w:rFonts w:hint="eastAsia" w:ascii="黑体" w:hAnsi="宋体" w:eastAsia="黑体"/>
          <w:bCs/>
          <w:snapToGrid w:val="0"/>
          <w:color w:val="000000"/>
          <w:kern w:val="0"/>
          <w:sz w:val="24"/>
        </w:rPr>
      </w:pPr>
      <w:r>
        <w:rPr>
          <w:rFonts w:hint="eastAsia" w:ascii="黑体" w:hAnsi="宋体" w:eastAsia="黑体" w:cs="宋体"/>
          <w:bCs/>
          <w:snapToGrid w:val="0"/>
          <w:color w:val="000000"/>
          <w:kern w:val="0"/>
          <w:sz w:val="24"/>
        </w:rPr>
        <w:t>十八、慢性粒细胞白血病</w:t>
      </w:r>
    </w:p>
    <w:p>
      <w:pPr>
        <w:pStyle w:val="5"/>
        <w:adjustRightInd w:val="0"/>
        <w:snapToGrid w:val="0"/>
        <w:spacing w:line="430" w:lineRule="exact"/>
        <w:ind w:firstLine="480"/>
        <w:rPr>
          <w:rFonts w:hint="eastAsia" w:ascii="方正楷体简体" w:hAnsi="宋体" w:eastAsia="方正楷体简体"/>
          <w:snapToGrid w:val="0"/>
          <w:color w:val="000000"/>
          <w:kern w:val="0"/>
          <w:sz w:val="24"/>
        </w:rPr>
      </w:pPr>
      <w:r>
        <w:rPr>
          <w:rFonts w:hint="eastAsia" w:ascii="方正楷体简体" w:hAnsi="宋体" w:eastAsia="方正楷体简体" w:cs="宋体"/>
          <w:snapToGrid w:val="0"/>
          <w:color w:val="000000"/>
          <w:kern w:val="0"/>
          <w:sz w:val="24"/>
        </w:rPr>
        <w:t>（一）适用对象。</w:t>
      </w:r>
    </w:p>
    <w:p>
      <w:pPr>
        <w:pStyle w:val="5"/>
        <w:adjustRightInd w:val="0"/>
        <w:snapToGrid w:val="0"/>
        <w:spacing w:line="430" w:lineRule="exact"/>
        <w:ind w:firstLine="480"/>
        <w:rPr>
          <w:rFonts w:ascii="宋体" w:hAnsi="宋体"/>
          <w:snapToGrid w:val="0"/>
          <w:color w:val="000000"/>
          <w:kern w:val="0"/>
          <w:sz w:val="24"/>
        </w:rPr>
      </w:pPr>
      <w:r>
        <w:rPr>
          <w:rFonts w:hint="eastAsia" w:ascii="宋体" w:hAnsi="宋体" w:cs="宋体"/>
          <w:snapToGrid w:val="0"/>
          <w:color w:val="000000"/>
          <w:kern w:val="0"/>
          <w:sz w:val="24"/>
        </w:rPr>
        <w:t>以慢性粒细胞白血病慢性期</w:t>
      </w:r>
      <w:r>
        <w:rPr>
          <w:rFonts w:hint="eastAsia" w:ascii="宋体" w:hAnsi="宋体"/>
          <w:snapToGrid w:val="0"/>
          <w:color w:val="000000"/>
          <w:kern w:val="0"/>
          <w:sz w:val="24"/>
        </w:rPr>
        <w:t>为第一诊断</w:t>
      </w:r>
      <w:r>
        <w:rPr>
          <w:rFonts w:hint="eastAsia" w:ascii="宋体" w:hAnsi="宋体" w:cs="宋体"/>
          <w:snapToGrid w:val="0"/>
          <w:color w:val="000000"/>
          <w:kern w:val="0"/>
          <w:sz w:val="24"/>
        </w:rPr>
        <w:t>的患者（</w:t>
      </w:r>
      <w:r>
        <w:rPr>
          <w:rFonts w:ascii="宋体" w:hAnsi="宋体"/>
          <w:snapToGrid w:val="0"/>
          <w:color w:val="000000"/>
          <w:kern w:val="0"/>
          <w:sz w:val="24"/>
        </w:rPr>
        <w:t>ICD-10</w:t>
      </w:r>
      <w:r>
        <w:rPr>
          <w:rFonts w:hint="eastAsia" w:ascii="宋体" w:hAnsi="宋体" w:cs="宋体"/>
          <w:snapToGrid w:val="0"/>
          <w:color w:val="000000"/>
          <w:kern w:val="0"/>
          <w:sz w:val="24"/>
        </w:rPr>
        <w:t>：</w:t>
      </w:r>
      <w:r>
        <w:rPr>
          <w:rFonts w:ascii="宋体" w:hAnsi="宋体"/>
          <w:snapToGrid w:val="0"/>
          <w:color w:val="000000"/>
          <w:kern w:val="0"/>
          <w:sz w:val="24"/>
        </w:rPr>
        <w:t>C92.101</w:t>
      </w:r>
      <w:r>
        <w:rPr>
          <w:rFonts w:hint="eastAsia" w:ascii="宋体" w:hAnsi="宋体" w:cs="宋体"/>
          <w:snapToGrid w:val="0"/>
          <w:color w:val="000000"/>
          <w:kern w:val="0"/>
          <w:sz w:val="24"/>
        </w:rPr>
        <w:t>），在定点医疗机构全年治疗发生的费用，纳入新农合重大疾病按病种付费范围。</w:t>
      </w:r>
    </w:p>
    <w:p>
      <w:pPr>
        <w:pStyle w:val="5"/>
        <w:adjustRightInd w:val="0"/>
        <w:snapToGrid w:val="0"/>
        <w:spacing w:line="430" w:lineRule="exact"/>
        <w:ind w:firstLine="480"/>
        <w:rPr>
          <w:rFonts w:hint="eastAsia" w:ascii="方正楷体简体" w:hAnsi="宋体" w:eastAsia="方正楷体简体"/>
          <w:snapToGrid w:val="0"/>
          <w:color w:val="000000"/>
          <w:kern w:val="0"/>
          <w:sz w:val="24"/>
        </w:rPr>
      </w:pPr>
      <w:r>
        <w:rPr>
          <w:rFonts w:hint="eastAsia" w:ascii="方正楷体简体" w:hAnsi="宋体" w:eastAsia="方正楷体简体" w:cs="宋体"/>
          <w:snapToGrid w:val="0"/>
          <w:color w:val="000000"/>
          <w:kern w:val="0"/>
          <w:sz w:val="24"/>
        </w:rPr>
        <w:t>（二）支付条件。</w:t>
      </w:r>
    </w:p>
    <w:p>
      <w:pPr>
        <w:adjustRightInd w:val="0"/>
        <w:snapToGrid w:val="0"/>
        <w:spacing w:line="430" w:lineRule="exact"/>
        <w:ind w:firstLine="480" w:firstLineChars="200"/>
        <w:rPr>
          <w:rFonts w:hint="eastAsia" w:ascii="宋体" w:hAnsi="宋体" w:cs="宋体"/>
          <w:snapToGrid w:val="0"/>
          <w:color w:val="000000"/>
          <w:kern w:val="0"/>
          <w:sz w:val="24"/>
        </w:rPr>
      </w:pPr>
      <w:r>
        <w:rPr>
          <w:rFonts w:hint="eastAsia" w:ascii="宋体" w:hAnsi="宋体" w:cs="宋体"/>
          <w:snapToGrid w:val="0"/>
          <w:color w:val="000000"/>
          <w:kern w:val="0"/>
          <w:sz w:val="24"/>
        </w:rPr>
        <w:t>治疗过程需严格按照《慢性髓细胞白血病临床路径（2011年版）》执行，方可实行按病种付费。首选伊马替尼治疗，在无条件使用伊马替尼时，可选用其他治疗方法。</w:t>
      </w:r>
    </w:p>
    <w:p>
      <w:pPr>
        <w:adjustRightInd w:val="0"/>
        <w:snapToGrid w:val="0"/>
        <w:spacing w:line="430" w:lineRule="exact"/>
        <w:ind w:firstLine="480" w:firstLineChars="200"/>
        <w:rPr>
          <w:rFonts w:hint="eastAsia" w:ascii="方正楷体简体" w:hAnsi="宋体" w:eastAsia="方正楷体简体" w:cs="宋体"/>
          <w:snapToGrid w:val="0"/>
          <w:color w:val="000000"/>
          <w:kern w:val="0"/>
          <w:sz w:val="24"/>
        </w:rPr>
      </w:pPr>
      <w:r>
        <w:rPr>
          <w:rFonts w:hint="eastAsia" w:ascii="方正楷体简体" w:hAnsi="宋体" w:eastAsia="方正楷体简体" w:cs="宋体"/>
          <w:snapToGrid w:val="0"/>
          <w:color w:val="000000"/>
          <w:kern w:val="0"/>
          <w:sz w:val="24"/>
        </w:rPr>
        <w:t>（三）支付标准。</w:t>
      </w:r>
    </w:p>
    <w:p>
      <w:pPr>
        <w:adjustRightInd w:val="0"/>
        <w:snapToGrid w:val="0"/>
        <w:spacing w:line="430" w:lineRule="exact"/>
        <w:ind w:firstLine="480" w:firstLineChars="200"/>
        <w:rPr>
          <w:rFonts w:ascii="宋体" w:hAnsi="宋体"/>
          <w:snapToGrid w:val="0"/>
          <w:color w:val="000000"/>
          <w:kern w:val="0"/>
          <w:sz w:val="24"/>
        </w:rPr>
      </w:pPr>
      <w:r>
        <w:rPr>
          <w:rFonts w:hint="eastAsia" w:ascii="宋体" w:hAnsi="宋体"/>
          <w:snapToGrid w:val="0"/>
          <w:color w:val="000000"/>
          <w:kern w:val="0"/>
          <w:sz w:val="24"/>
        </w:rPr>
        <w:t>支付费用包括患者每次住院治疗和全年门诊治疗的费用。患者使用</w:t>
      </w:r>
      <w:r>
        <w:rPr>
          <w:rFonts w:hint="eastAsia" w:ascii="宋体" w:hAnsi="宋体" w:cs="宋体"/>
          <w:snapToGrid w:val="0"/>
          <w:color w:val="000000"/>
          <w:kern w:val="0"/>
          <w:sz w:val="24"/>
        </w:rPr>
        <w:t>伊马替尼治疗</w:t>
      </w:r>
      <w:r>
        <w:rPr>
          <w:rFonts w:hint="eastAsia" w:ascii="宋体" w:hAnsi="宋体"/>
          <w:snapToGrid w:val="0"/>
          <w:color w:val="000000"/>
          <w:kern w:val="0"/>
          <w:sz w:val="24"/>
        </w:rPr>
        <w:t>，医院应在限额支付标准内收取治疗的费用，限额内发生费用的70%由新农合基金支付。患者使用其他方法治疗发生的费用超过限额支付标准的部分，按新农合相关政策进行报销；不足限额支付标准的部分，据实报销。</w:t>
      </w:r>
    </w:p>
    <w:p>
      <w:pPr>
        <w:pStyle w:val="5"/>
        <w:spacing w:line="430" w:lineRule="exact"/>
        <w:ind w:firstLine="480"/>
        <w:jc w:val="center"/>
        <w:rPr>
          <w:rFonts w:ascii="宋体" w:hAnsi="宋体"/>
          <w:sz w:val="24"/>
        </w:rPr>
      </w:pPr>
      <w:r>
        <w:rPr>
          <w:rFonts w:hint="eastAsia" w:ascii="宋体" w:hAnsi="宋体" w:cs="宋体"/>
          <w:bCs/>
          <w:sz w:val="24"/>
        </w:rPr>
        <w:t>表18 慢性粒细胞白血病治疗费用的</w:t>
      </w:r>
      <w:r>
        <w:rPr>
          <w:rFonts w:hint="eastAsia" w:ascii="宋体" w:hAnsi="宋体" w:cs="宋体"/>
          <w:bCs/>
          <w:spacing w:val="-20"/>
          <w:sz w:val="24"/>
        </w:rPr>
        <w:t>限额</w:t>
      </w:r>
      <w:r>
        <w:rPr>
          <w:rFonts w:hint="eastAsia" w:ascii="宋体" w:hAnsi="宋体" w:cs="宋体"/>
          <w:bCs/>
          <w:sz w:val="24"/>
        </w:rPr>
        <w:t>支付标准</w:t>
      </w:r>
    </w:p>
    <w:tbl>
      <w:tblPr>
        <w:tblStyle w:val="4"/>
        <w:tblW w:w="6464" w:type="dxa"/>
        <w:jc w:val="center"/>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232"/>
        <w:gridCol w:w="3232"/>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45" w:hRule="atLeast"/>
          <w:jc w:val="center"/>
        </w:trPr>
        <w:tc>
          <w:tcPr>
            <w:tcW w:w="6464" w:type="dxa"/>
            <w:gridSpan w:val="2"/>
            <w:tcBorders>
              <w:top w:val="single" w:color="auto" w:sz="4" w:space="0"/>
              <w:bottom w:val="single" w:color="auto" w:sz="4" w:space="0"/>
            </w:tcBorders>
            <w:vAlign w:val="center"/>
          </w:tcPr>
          <w:p>
            <w:pPr>
              <w:spacing w:line="410" w:lineRule="exact"/>
              <w:jc w:val="center"/>
              <w:rPr>
                <w:rFonts w:ascii="宋体" w:hAnsi="宋体"/>
                <w:b/>
                <w:bCs/>
                <w:szCs w:val="21"/>
              </w:rPr>
            </w:pPr>
            <w:r>
              <w:rPr>
                <w:rFonts w:hint="eastAsia" w:ascii="宋体" w:hAnsi="宋体"/>
                <w:b/>
                <w:bCs/>
                <w:szCs w:val="21"/>
              </w:rPr>
              <w:t>三级医院（万元）</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44" w:hRule="atLeast"/>
          <w:jc w:val="center"/>
        </w:trPr>
        <w:tc>
          <w:tcPr>
            <w:tcW w:w="3232" w:type="dxa"/>
            <w:tcBorders>
              <w:top w:val="single" w:color="auto" w:sz="4" w:space="0"/>
              <w:bottom w:val="nil"/>
            </w:tcBorders>
            <w:vAlign w:val="center"/>
          </w:tcPr>
          <w:p>
            <w:pPr>
              <w:spacing w:line="410" w:lineRule="exact"/>
              <w:jc w:val="center"/>
              <w:rPr>
                <w:rFonts w:ascii="宋体" w:hAnsi="宋体"/>
                <w:b/>
                <w:bCs/>
                <w:szCs w:val="21"/>
              </w:rPr>
            </w:pPr>
            <w:r>
              <w:rPr>
                <w:rFonts w:hint="eastAsia" w:ascii="宋体" w:hAnsi="宋体" w:cs="宋体"/>
                <w:b/>
                <w:bCs/>
                <w:szCs w:val="21"/>
              </w:rPr>
              <w:t>支付标准</w:t>
            </w:r>
          </w:p>
        </w:tc>
        <w:tc>
          <w:tcPr>
            <w:tcW w:w="3232" w:type="dxa"/>
            <w:tcBorders>
              <w:top w:val="single" w:color="auto" w:sz="4" w:space="0"/>
              <w:bottom w:val="nil"/>
            </w:tcBorders>
            <w:vAlign w:val="center"/>
          </w:tcPr>
          <w:p>
            <w:pPr>
              <w:spacing w:line="410" w:lineRule="exact"/>
              <w:jc w:val="center"/>
              <w:rPr>
                <w:rFonts w:ascii="宋体" w:hAnsi="宋体"/>
                <w:b/>
                <w:bCs/>
                <w:szCs w:val="21"/>
              </w:rPr>
            </w:pPr>
            <w:r>
              <w:rPr>
                <w:rFonts w:hint="eastAsia" w:ascii="宋体" w:hAnsi="宋体" w:cs="宋体"/>
                <w:b/>
                <w:bCs/>
                <w:szCs w:val="21"/>
              </w:rPr>
              <w:t>新农合支付</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26" w:hRule="atLeast"/>
          <w:jc w:val="center"/>
        </w:trPr>
        <w:tc>
          <w:tcPr>
            <w:tcW w:w="3232" w:type="dxa"/>
            <w:tcBorders>
              <w:top w:val="nil"/>
            </w:tcBorders>
            <w:vAlign w:val="center"/>
          </w:tcPr>
          <w:p>
            <w:pPr>
              <w:spacing w:line="410" w:lineRule="exact"/>
              <w:jc w:val="center"/>
              <w:rPr>
                <w:rFonts w:ascii="宋体" w:hAnsi="宋体"/>
                <w:szCs w:val="21"/>
              </w:rPr>
            </w:pPr>
            <w:r>
              <w:rPr>
                <w:rFonts w:ascii="宋体" w:hAnsi="宋体"/>
                <w:szCs w:val="21"/>
              </w:rPr>
              <w:t>7</w:t>
            </w:r>
            <w:r>
              <w:rPr>
                <w:rFonts w:hint="eastAsia" w:ascii="宋体" w:hAnsi="宋体"/>
                <w:szCs w:val="21"/>
              </w:rPr>
              <w:t>.2</w:t>
            </w:r>
          </w:p>
        </w:tc>
        <w:tc>
          <w:tcPr>
            <w:tcW w:w="3232" w:type="dxa"/>
            <w:tcBorders>
              <w:top w:val="nil"/>
            </w:tcBorders>
            <w:vAlign w:val="center"/>
          </w:tcPr>
          <w:p>
            <w:pPr>
              <w:spacing w:line="410" w:lineRule="exact"/>
              <w:jc w:val="center"/>
              <w:rPr>
                <w:rFonts w:ascii="宋体" w:hAnsi="宋体"/>
                <w:szCs w:val="21"/>
              </w:rPr>
            </w:pPr>
            <w:r>
              <w:rPr>
                <w:rFonts w:ascii="宋体" w:hAnsi="宋体"/>
                <w:szCs w:val="21"/>
              </w:rPr>
              <w:t>5.04</w:t>
            </w:r>
          </w:p>
        </w:tc>
      </w:tr>
    </w:tbl>
    <w:p>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10002FF" w:usb1="4000ACFF" w:usb2="00000009"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10002FF" w:usb1="4000ACFF" w:usb2="00000009" w:usb3="00000000" w:csb0="2000019F" w:csb1="00000000"/>
  </w:font>
  <w:font w:name="方正大标宋简体">
    <w:panose1 w:val="02010601030101010101"/>
    <w:charset w:val="86"/>
    <w:family w:val="script"/>
    <w:pitch w:val="default"/>
    <w:sig w:usb0="00000001" w:usb1="080E0000" w:usb2="00000000" w:usb3="00000000" w:csb0="00040000" w:csb1="00000000"/>
  </w:font>
  <w:font w:name="方正楷体简体">
    <w:panose1 w:val="02010601030101010101"/>
    <w:charset w:val="86"/>
    <w:family w:val="script"/>
    <w:pitch w:val="default"/>
    <w:sig w:usb0="00000001" w:usb1="080E0000" w:usb2="00000000" w:usb3="00000000" w:csb0="00040000" w:csb1="00000000"/>
  </w:font>
  <w:font w:name="sans-serif">
    <w:altName w:val="Courier New"/>
    <w:panose1 w:val="00000000000000000000"/>
    <w:charset w:val="00"/>
    <w:family w:val="auto"/>
    <w:pitch w:val="default"/>
    <w:sig w:usb0="00000000" w:usb1="00000000" w:usb2="00000000" w:usb3="00000000" w:csb0="00040001" w:csb1="00000000"/>
  </w:font>
  <w:font w:name="仿宋_GB2312">
    <w:altName w:val="仿宋"/>
    <w:panose1 w:val="02010609030101010101"/>
    <w:charset w:val="86"/>
    <w:family w:val="swiss"/>
    <w:pitch w:val="default"/>
    <w:sig w:usb0="00000000" w:usb1="00000000" w:usb2="00000010" w:usb3="00000000" w:csb0="00040000" w:csb1="00000000"/>
  </w:font>
  <w:font w:name="Arial">
    <w:panose1 w:val="020B0604020202020204"/>
    <w:charset w:val="00"/>
    <w:family w:val="decorative"/>
    <w:pitch w:val="default"/>
    <w:sig w:usb0="E0002AFF" w:usb1="C0007843" w:usb2="00000009" w:usb3="00000000" w:csb0="400001FF" w:csb1="FFFF0000"/>
  </w:font>
  <w:font w:name="新宋体">
    <w:panose1 w:val="02010609030101010101"/>
    <w:charset w:val="86"/>
    <w:family w:val="swiss"/>
    <w:pitch w:val="default"/>
    <w:sig w:usb0="00000003" w:usb1="288F0000" w:usb2="00000006" w:usb3="00000000" w:csb0="00040001" w:csb1="00000000"/>
  </w:font>
  <w:font w:name="楷体_GB2312">
    <w:altName w:val="楷体"/>
    <w:panose1 w:val="02010609030101010101"/>
    <w:charset w:val="86"/>
    <w:family w:val="swiss"/>
    <w:pitch w:val="default"/>
    <w:sig w:usb0="00000000" w:usb1="00000000" w:usb2="00000010" w:usb3="00000000" w:csb0="00040000" w:csb1="00000000"/>
  </w:font>
  <w:font w:name="方正黑体简体">
    <w:panose1 w:val="02010601030101010101"/>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swiss"/>
    <w:pitch w:val="default"/>
    <w:sig w:usb0="800002BF" w:usb1="38CF7CFA" w:usb2="00000016" w:usb3="00000000" w:csb0="00040001" w:csb1="00000000"/>
  </w:font>
  <w:font w:name="楷体">
    <w:panose1 w:val="02010609060101010101"/>
    <w:charset w:val="86"/>
    <w:family w:val="swiss"/>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56D5F5E"/>
    <w:rsid w:val="05ED35C6"/>
    <w:rsid w:val="2B406E77"/>
    <w:rsid w:val="756D5F5E"/>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3">
    <w:name w:val="Default Paragraph Font"/>
    <w:semiHidden/>
    <w:qFormat/>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annotation text"/>
    <w:basedOn w:val="1"/>
    <w:uiPriority w:val="0"/>
    <w:pPr>
      <w:jc w:val="left"/>
    </w:pPr>
    <w:rPr>
      <w:kern w:val="0"/>
      <w:sz w:val="20"/>
      <w:lang w:val="zh-CN" w:eastAsia="zh-CN"/>
    </w:rPr>
  </w:style>
  <w:style w:type="paragraph" w:customStyle="1" w:styleId="5">
    <w:name w:val="_Style 2"/>
    <w:basedOn w:val="1"/>
    <w:qFormat/>
    <w:uiPriority w:val="0"/>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2015-12-31T07:46:00Z</dcterms:created>
  <dc:creator>chaunuser</dc:creator>
  <cp:lastModifiedBy>chaunuser</cp:lastModifiedBy>
  <dcterms:modified xsi:type="dcterms:W3CDTF">2015-12-31T07:47:30Z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2052-10.1.0.5400</vt:lpwstr>
  </property>
</Properties>
</file>